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92" w:lineRule="auto"/>
      </w:pPr>
      <w:r>
        <w:rPr/>
        <w:t>金华万得福日用品股份有限公司质量诚信报告</w:t>
      </w:r>
    </w:p>
    <w:p>
      <w:pPr>
        <w:pStyle w:val="BodyText"/>
        <w:spacing w:before="4"/>
        <w:ind w:left="0"/>
        <w:rPr>
          <w:sz w:val="28"/>
        </w:rPr>
      </w:pPr>
    </w:p>
    <w:p>
      <w:pPr>
        <w:pStyle w:val="Heading1"/>
        <w:ind w:right="2247"/>
      </w:pPr>
      <w:bookmarkStart w:name="第一部分 前言" w:id="1"/>
      <w:bookmarkEnd w:id="1"/>
      <w:r>
        <w:rPr/>
      </w:r>
      <w:r>
        <w:rPr>
          <w:spacing w:val="-1"/>
        </w:rPr>
        <w:t>第一部分 前言</w:t>
      </w:r>
    </w:p>
    <w:p>
      <w:pPr>
        <w:pStyle w:val="BodyText"/>
        <w:spacing w:before="11"/>
        <w:ind w:left="0"/>
        <w:rPr>
          <w:sz w:val="42"/>
        </w:rPr>
      </w:pPr>
    </w:p>
    <w:p>
      <w:pPr>
        <w:pStyle w:val="Heading2"/>
      </w:pPr>
      <w:bookmarkStart w:name="一、报告编制规范" w:id="2"/>
      <w:bookmarkEnd w:id="2"/>
      <w:r>
        <w:rPr/>
      </w:r>
      <w:r>
        <w:rPr/>
        <w:t>一、报告编制规范</w:t>
      </w:r>
    </w:p>
    <w:p>
      <w:pPr>
        <w:pStyle w:val="BodyText"/>
        <w:spacing w:line="364" w:lineRule="auto" w:before="214"/>
        <w:ind w:right="384" w:firstLine="463"/>
        <w:jc w:val="both"/>
      </w:pPr>
      <w:r>
        <w:rPr>
          <w:spacing w:val="-10"/>
        </w:rPr>
        <w:t>公司严格遵守国家有关法律、法规及行业标准、规程，依据客观性、时效性、可验性的</w:t>
      </w:r>
      <w:r>
        <w:rPr>
          <w:spacing w:val="-11"/>
        </w:rPr>
        <w:t>原则编制《金华万得福日用品股份有限公司 </w:t>
      </w:r>
      <w:r>
        <w:rPr>
          <w:spacing w:val="-3"/>
        </w:rPr>
        <w:t>2020</w:t>
      </w:r>
      <w:r>
        <w:rPr>
          <w:spacing w:val="-22"/>
        </w:rPr>
        <w:t> 年度质量诚信报告》，旨在使社会各界了解</w:t>
      </w:r>
      <w:r>
        <w:rPr/>
        <w:t>本公司的社会责任的理念和工作开展情况。</w:t>
      </w:r>
    </w:p>
    <w:p>
      <w:pPr>
        <w:pStyle w:val="BodyText"/>
        <w:spacing w:line="364" w:lineRule="auto" w:before="2"/>
        <w:ind w:right="365" w:firstLine="463"/>
        <w:jc w:val="both"/>
      </w:pPr>
      <w:r>
        <w:rPr>
          <w:spacing w:val="-10"/>
        </w:rPr>
        <w:t>本报告综合评价了公司在质量诚信体系建设的基本情况，是公司贯彻落实国务院《质量</w:t>
      </w:r>
      <w:r>
        <w:rPr>
          <w:spacing w:val="-13"/>
        </w:rPr>
        <w:t>发展纲要</w:t>
      </w:r>
      <w:r>
        <w:rPr>
          <w:spacing w:val="-10"/>
        </w:rPr>
        <w:t>（</w:t>
      </w:r>
      <w:r>
        <w:rPr>
          <w:spacing w:val="-3"/>
        </w:rPr>
        <w:t>20</w:t>
      </w:r>
      <w:r>
        <w:rPr>
          <w:spacing w:val="-5"/>
        </w:rPr>
        <w:t>1</w:t>
      </w:r>
      <w:r>
        <w:rPr>
          <w:spacing w:val="-3"/>
        </w:rPr>
        <w:t>1</w:t>
      </w:r>
      <w:r>
        <w:rPr>
          <w:spacing w:val="-5"/>
        </w:rPr>
        <w:t>-2</w:t>
      </w:r>
      <w:r>
        <w:rPr>
          <w:spacing w:val="-3"/>
        </w:rPr>
        <w:t>0</w:t>
      </w:r>
      <w:r>
        <w:rPr>
          <w:spacing w:val="-5"/>
        </w:rPr>
        <w:t>2</w:t>
      </w:r>
      <w:r>
        <w:rPr>
          <w:spacing w:val="-8"/>
        </w:rPr>
        <w:t>0</w:t>
      </w:r>
      <w:r>
        <w:rPr>
          <w:spacing w:val="-123"/>
        </w:rPr>
        <w:t>）</w:t>
      </w:r>
      <w:r>
        <w:rPr>
          <w:spacing w:val="-21"/>
        </w:rPr>
        <w:t>》，增强质量诚信自律意识、建立健全质量安全长效机制取得的丰硕成</w:t>
      </w:r>
      <w:r>
        <w:rPr/>
        <w:t>果。</w:t>
      </w:r>
    </w:p>
    <w:p>
      <w:pPr>
        <w:pStyle w:val="BodyText"/>
        <w:spacing w:before="2"/>
        <w:ind w:left="681"/>
      </w:pPr>
      <w:bookmarkStart w:name="（一）报告范围" w:id="3"/>
      <w:bookmarkEnd w:id="3"/>
      <w:r>
        <w:rPr/>
      </w:r>
      <w:r>
        <w:rPr>
          <w:spacing w:val="-7"/>
        </w:rPr>
        <w:t>（一）报告范围</w:t>
      </w:r>
    </w:p>
    <w:p>
      <w:pPr>
        <w:pStyle w:val="BodyText"/>
        <w:ind w:left="681"/>
      </w:pPr>
      <w:r>
        <w:rPr>
          <w:spacing w:val="-10"/>
        </w:rPr>
        <w:t>报告的组织范围：金华万得福日用品股份有限公司</w:t>
      </w:r>
    </w:p>
    <w:p>
      <w:pPr>
        <w:pStyle w:val="BodyText"/>
        <w:spacing w:line="364" w:lineRule="auto" w:before="161"/>
        <w:ind w:right="363" w:firstLine="463"/>
      </w:pPr>
      <w:r>
        <w:rPr>
          <w:spacing w:val="-11"/>
        </w:rPr>
        <w:t>报告的编制依据：</w:t>
      </w:r>
      <w:r>
        <w:rPr>
          <w:spacing w:val="-12"/>
        </w:rPr>
        <w:t>GB/T</w:t>
      </w:r>
      <w:r>
        <w:rPr>
          <w:spacing w:val="-65"/>
        </w:rPr>
        <w:t> </w:t>
      </w:r>
      <w:r>
        <w:rPr>
          <w:spacing w:val="-9"/>
        </w:rPr>
        <w:t>29467-2012</w:t>
      </w:r>
      <w:r>
        <w:rPr>
          <w:spacing w:val="-21"/>
        </w:rPr>
        <w:t>《企业质量诚信管理实施规范》、</w:t>
      </w:r>
      <w:r>
        <w:rPr>
          <w:spacing w:val="-3"/>
        </w:rPr>
        <w:t>GB/T</w:t>
      </w:r>
      <w:r>
        <w:rPr>
          <w:spacing w:val="-61"/>
        </w:rPr>
        <w:t> </w:t>
      </w:r>
      <w:r>
        <w:rPr>
          <w:spacing w:val="-9"/>
        </w:rPr>
        <w:t>31870-2015</w:t>
      </w:r>
      <w:r>
        <w:rPr>
          <w:spacing w:val="-4"/>
        </w:rPr>
        <w:t>《企</w:t>
      </w:r>
      <w:r>
        <w:rPr/>
        <w:t>业质量信用报告编写指南》</w:t>
      </w:r>
    </w:p>
    <w:p>
      <w:pPr>
        <w:pStyle w:val="BodyText"/>
        <w:spacing w:line="364" w:lineRule="auto" w:before="1"/>
        <w:ind w:left="681" w:right="5542"/>
      </w:pPr>
      <w:r>
        <w:rPr>
          <w:spacing w:val="-5"/>
        </w:rPr>
        <w:t>报告的时间范围：2020</w:t>
      </w:r>
      <w:r>
        <w:rPr>
          <w:spacing w:val="-48"/>
        </w:rPr>
        <w:t> 年 </w:t>
      </w:r>
      <w:r>
        <w:rPr>
          <w:spacing w:val="-5"/>
        </w:rPr>
        <w:t>1</w:t>
      </w:r>
      <w:r>
        <w:rPr>
          <w:spacing w:val="-37"/>
        </w:rPr>
        <w:t> 月</w:t>
      </w:r>
      <w:r>
        <w:rPr>
          <w:spacing w:val="-5"/>
        </w:rPr>
        <w:t>-12</w:t>
      </w:r>
      <w:r>
        <w:rPr>
          <w:spacing w:val="-38"/>
        </w:rPr>
        <w:t> 月</w:t>
      </w:r>
      <w:r>
        <w:rPr/>
        <w:t>报告的发布周期：年度发布</w:t>
      </w:r>
    </w:p>
    <w:p>
      <w:pPr>
        <w:pStyle w:val="BodyText"/>
        <w:spacing w:before="1"/>
        <w:ind w:left="681"/>
      </w:pPr>
      <w:bookmarkStart w:name="（二）报告内容客观性说明" w:id="4"/>
      <w:bookmarkEnd w:id="4"/>
      <w:r>
        <w:rPr/>
      </w:r>
      <w:r>
        <w:rPr>
          <w:spacing w:val="-8"/>
        </w:rPr>
        <w:t>（</w:t>
      </w:r>
      <w:r>
        <w:rPr>
          <w:spacing w:val="-7"/>
        </w:rPr>
        <w:t>二）报告内容客观性说明</w:t>
      </w:r>
    </w:p>
    <w:p>
      <w:pPr>
        <w:pStyle w:val="BodyText"/>
        <w:spacing w:line="364" w:lineRule="auto" w:before="161"/>
        <w:ind w:right="437" w:firstLine="463"/>
      </w:pPr>
      <w:r>
        <w:rPr>
          <w:spacing w:val="-10"/>
        </w:rPr>
        <w:t>本报告基于综合汇总、整理公司自成立以来的质量诚信工作相关数据，且数据、信息全</w:t>
      </w:r>
      <w:r>
        <w:rPr/>
        <w:t>部真实、可信，本公司对报告内容的客观性负责并主动接受社会监督，特此声明。</w:t>
      </w:r>
    </w:p>
    <w:p>
      <w:pPr>
        <w:pStyle w:val="Heading2"/>
        <w:spacing w:before="208"/>
      </w:pPr>
      <w:bookmarkStart w:name="二、致辞" w:id="5"/>
      <w:bookmarkEnd w:id="5"/>
      <w:r>
        <w:rPr/>
      </w:r>
      <w:r>
        <w:rPr/>
        <w:t>二、致辞</w:t>
      </w:r>
    </w:p>
    <w:p>
      <w:pPr>
        <w:pStyle w:val="BodyText"/>
        <w:spacing w:line="364" w:lineRule="auto" w:before="214"/>
        <w:ind w:right="372" w:firstLine="480"/>
        <w:jc w:val="both"/>
      </w:pPr>
      <w:r>
        <w:rPr/>
        <w:t>思想先行、奔竞不息，勇立潮头的永远是时代的领跑者!万得福伴随着与时俱进的经</w:t>
      </w:r>
      <w:r>
        <w:rPr>
          <w:spacing w:val="-1"/>
        </w:rPr>
        <w:t>济浪潮翻开了崭新的一页。万得福自创立以来，历经风雨近二十载，从作坊式小厂成长到现在，已成为全国知名日用品制造企业，这是市场经济锤炼的结果，凝聚了社会各界朋友</w:t>
      </w:r>
      <w:r>
        <w:rPr/>
        <w:t>的关爱和支持。</w:t>
      </w:r>
    </w:p>
    <w:p>
      <w:pPr>
        <w:pStyle w:val="BodyText"/>
        <w:spacing w:line="364" w:lineRule="auto" w:before="3"/>
        <w:ind w:right="369" w:firstLine="480"/>
        <w:jc w:val="both"/>
      </w:pPr>
      <w:r>
        <w:rPr>
          <w:spacing w:val="-1"/>
        </w:rPr>
        <w:t>我们秉持着为客户创造增值，为股东创造收益，为员工创造幸福，为社会创造财富的经营理念，以建设国内优质日用品的主要生产基地为发展目标，致力于研发受市场和消费者认可的绿色环保日用品，节能减排、杜绝浪费，使品质、技术、市场占有率处于国内同</w:t>
      </w:r>
    </w:p>
    <w:p>
      <w:pPr>
        <w:spacing w:after="0" w:line="364" w:lineRule="auto"/>
        <w:jc w:val="both"/>
        <w:sectPr>
          <w:type w:val="continuous"/>
          <w:pgSz w:w="11910" w:h="16840"/>
          <w:pgMar w:top="1440" w:bottom="280" w:left="1200" w:right="760"/>
        </w:sectPr>
      </w:pPr>
    </w:p>
    <w:p>
      <w:pPr>
        <w:pStyle w:val="BodyText"/>
        <w:spacing w:line="364" w:lineRule="auto" w:before="40"/>
        <w:ind w:right="372"/>
        <w:jc w:val="both"/>
      </w:pPr>
      <w:r>
        <w:rPr>
          <w:spacing w:val="-2"/>
        </w:rPr>
        <w:t>行业领先地位。严格执行 </w:t>
      </w:r>
      <w:r>
        <w:rPr/>
        <w:t>PDCA</w:t>
      </w:r>
      <w:r>
        <w:rPr>
          <w:spacing w:val="-5"/>
        </w:rPr>
        <w:t> 管控流程，预防不合格品产生，保证产品质量，使万得福</w:t>
      </w:r>
      <w:r>
        <w:rPr/>
        <w:t>拥有强劲的生命力。</w:t>
      </w:r>
    </w:p>
    <w:p>
      <w:pPr>
        <w:pStyle w:val="BodyText"/>
        <w:spacing w:line="364" w:lineRule="auto" w:before="2"/>
        <w:ind w:right="372" w:firstLine="480"/>
        <w:jc w:val="both"/>
      </w:pPr>
      <w:r>
        <w:rPr>
          <w:spacing w:val="-1"/>
        </w:rPr>
        <w:t>每天的太阳都是新的，每天都是一个新的起点。对于未来，万得福将推动可持续发展战略。我们期待在更为广阔的领域内与国内外客商携手并进，不断拓进产品及产业的发展</w:t>
      </w:r>
      <w:r>
        <w:rPr/>
        <w:t>空间，愿与天下朋友携手共创美好的未来！</w:t>
      </w:r>
    </w:p>
    <w:p>
      <w:pPr>
        <w:pStyle w:val="Heading2"/>
        <w:spacing w:before="209"/>
      </w:pPr>
      <w:bookmarkStart w:name="三、公司简介" w:id="6"/>
      <w:bookmarkEnd w:id="6"/>
      <w:r>
        <w:rPr/>
      </w:r>
      <w:r>
        <w:rPr/>
        <w:t>三、公司简介</w:t>
      </w:r>
    </w:p>
    <w:p>
      <w:pPr>
        <w:pStyle w:val="BodyText"/>
        <w:spacing w:line="364" w:lineRule="auto" w:before="214"/>
        <w:ind w:right="372" w:firstLine="480"/>
        <w:jc w:val="both"/>
      </w:pPr>
      <w:r>
        <w:rPr>
          <w:spacing w:val="-2"/>
        </w:rPr>
        <w:t>金华万得福日用品股份有限公司成立于 </w:t>
      </w:r>
      <w:r>
        <w:rPr/>
        <w:t>2004</w:t>
      </w:r>
      <w:r>
        <w:rPr>
          <w:spacing w:val="-5"/>
        </w:rPr>
        <w:t> 年，是一家专业研发、生产、销售日用</w:t>
      </w:r>
      <w:r>
        <w:rPr>
          <w:spacing w:val="-1"/>
        </w:rPr>
        <w:t>品的高新技术企业，主要产品为各类聚会用餐具、厨房用品及家用纺织品等，国外市场需</w:t>
      </w:r>
      <w:r>
        <w:rPr>
          <w:spacing w:val="-3"/>
        </w:rPr>
        <w:t>求量极大，远销欧美 </w:t>
      </w:r>
      <w:r>
        <w:rPr/>
        <w:t>80</w:t>
      </w:r>
      <w:r>
        <w:rPr>
          <w:spacing w:val="-5"/>
        </w:rPr>
        <w:t> 多个国家和地区，我司产品受到国外客户的广泛认可，逐渐构筑</w:t>
      </w:r>
    </w:p>
    <w:p>
      <w:pPr>
        <w:pStyle w:val="BodyText"/>
        <w:spacing w:line="364" w:lineRule="auto" w:before="1"/>
        <w:ind w:right="252"/>
        <w:jc w:val="both"/>
      </w:pPr>
      <w:r>
        <w:rPr>
          <w:spacing w:val="-10"/>
        </w:rPr>
        <w:t>稳定的客户群。</w:t>
      </w:r>
      <w:r>
        <w:rPr/>
        <w:t>2018</w:t>
      </w:r>
      <w:r>
        <w:rPr>
          <w:spacing w:val="-40"/>
        </w:rPr>
        <w:t> 年 </w:t>
      </w:r>
      <w:r>
        <w:rPr/>
        <w:t>11</w:t>
      </w:r>
      <w:r>
        <w:rPr>
          <w:spacing w:val="-14"/>
        </w:rPr>
        <w:t> 月份公司投资超 </w:t>
      </w:r>
      <w:r>
        <w:rPr/>
        <w:t>1000</w:t>
      </w:r>
      <w:r>
        <w:rPr>
          <w:spacing w:val="-8"/>
        </w:rPr>
        <w:t> 万美元在越南设立第二工厂用于满足客户</w:t>
      </w:r>
      <w:r>
        <w:rPr/>
        <w:t>需求的增长。2020</w:t>
      </w:r>
      <w:r>
        <w:rPr>
          <w:spacing w:val="-22"/>
        </w:rPr>
        <w:t> 年因为 </w:t>
      </w:r>
      <w:r>
        <w:rPr/>
        <w:t>COVID-19</w:t>
      </w:r>
      <w:r>
        <w:rPr>
          <w:spacing w:val="-8"/>
        </w:rPr>
        <w:t> 的疫情，公司依据自身的场地设备和人员的优势迅速</w:t>
      </w:r>
      <w:r>
        <w:rPr>
          <w:spacing w:val="20"/>
        </w:rPr>
        <w:t>建立</w:t>
      </w:r>
      <w:r>
        <w:rPr/>
        <w:t>GMP</w:t>
      </w:r>
      <w:r>
        <w:rPr>
          <w:spacing w:val="-15"/>
        </w:rPr>
        <w:t> 生产车间引进了医用和民用防疫产品的生产，如今拥有数条口罩和护目镜生产线。</w:t>
      </w:r>
    </w:p>
    <w:p>
      <w:pPr>
        <w:pStyle w:val="BodyText"/>
        <w:spacing w:line="364" w:lineRule="auto" w:before="2"/>
        <w:ind w:right="252" w:firstLine="480"/>
      </w:pPr>
      <w:r>
        <w:rPr>
          <w:spacing w:val="-4"/>
        </w:rPr>
        <w:t>公司设有专业的研发创新部门，截至 </w:t>
      </w:r>
      <w:r>
        <w:rPr/>
        <w:t>2021</w:t>
      </w:r>
      <w:r>
        <w:rPr>
          <w:spacing w:val="-40"/>
        </w:rPr>
        <w:t> 年 </w:t>
      </w:r>
      <w:r>
        <w:rPr/>
        <w:t>7</w:t>
      </w:r>
      <w:r>
        <w:rPr>
          <w:spacing w:val="-13"/>
        </w:rPr>
        <w:t> 月，公司已拥有商标 </w:t>
      </w:r>
      <w:r>
        <w:rPr/>
        <w:t>69</w:t>
      </w:r>
      <w:r>
        <w:rPr>
          <w:spacing w:val="-10"/>
        </w:rPr>
        <w:t> 项，专利 </w:t>
      </w:r>
      <w:r>
        <w:rPr/>
        <w:t>107</w:t>
      </w:r>
      <w:r>
        <w:rPr>
          <w:spacing w:val="1"/>
        </w:rPr>
        <w:t> </w:t>
      </w:r>
      <w:r>
        <w:rPr>
          <w:spacing w:val="-7"/>
        </w:rPr>
        <w:t>项，其中发明专利 </w:t>
      </w:r>
      <w:r>
        <w:rPr/>
        <w:t>9</w:t>
      </w:r>
      <w:r>
        <w:rPr>
          <w:spacing w:val="-13"/>
        </w:rPr>
        <w:t> 项，实用新型专利 </w:t>
      </w:r>
      <w:r>
        <w:rPr/>
        <w:t>35</w:t>
      </w:r>
      <w:r>
        <w:rPr>
          <w:spacing w:val="-13"/>
        </w:rPr>
        <w:t> 项。产品通过权威的 </w:t>
      </w:r>
      <w:r>
        <w:rPr/>
        <w:t>SGS</w:t>
      </w:r>
      <w:r>
        <w:rPr>
          <w:spacing w:val="-15"/>
        </w:rPr>
        <w:t> 认证、</w:t>
      </w:r>
      <w:r>
        <w:rPr/>
        <w:t>CCIC</w:t>
      </w:r>
      <w:r>
        <w:rPr>
          <w:spacing w:val="-12"/>
        </w:rPr>
        <w:t> 食品检测</w:t>
      </w:r>
      <w:r>
        <w:rPr>
          <w:spacing w:val="-9"/>
        </w:rPr>
        <w:t>认证、美国 </w:t>
      </w:r>
      <w:r>
        <w:rPr/>
        <w:t>FDA</w:t>
      </w:r>
      <w:r>
        <w:rPr>
          <w:spacing w:val="-16"/>
        </w:rPr>
        <w:t> 认证、德国 </w:t>
      </w:r>
      <w:r>
        <w:rPr/>
        <w:t>LFGB</w:t>
      </w:r>
      <w:r>
        <w:rPr>
          <w:spacing w:val="-5"/>
        </w:rPr>
        <w:t> 食品安全认证；公司通过英国</w:t>
      </w:r>
      <w:r>
        <w:rPr>
          <w:spacing w:val="2"/>
        </w:rPr>
        <w:t>（</w:t>
      </w:r>
      <w:r>
        <w:rPr/>
        <w:t>BR</w:t>
      </w:r>
      <w:r>
        <w:rPr>
          <w:spacing w:val="4"/>
        </w:rPr>
        <w:t>C</w:t>
      </w:r>
      <w:r>
        <w:rPr>
          <w:spacing w:val="-118"/>
        </w:rPr>
        <w:t>）</w:t>
      </w:r>
      <w:r>
        <w:rPr>
          <w:spacing w:val="2"/>
        </w:rPr>
        <w:t>、欧洲</w:t>
      </w:r>
      <w:r>
        <w:rPr/>
        <w:t>(BSCI</w:t>
      </w:r>
      <w:r>
        <w:rPr>
          <w:spacing w:val="2"/>
        </w:rPr>
        <w:t>)、英国</w:t>
      </w:r>
      <w:r>
        <w:rPr/>
        <w:t>(SEDEX</w:t>
      </w:r>
      <w:r>
        <w:rPr>
          <w:spacing w:val="-7"/>
        </w:rPr>
        <w:t>)的认证。公司 </w:t>
      </w:r>
      <w:r>
        <w:rPr/>
        <w:t>2015</w:t>
      </w:r>
      <w:r>
        <w:rPr>
          <w:spacing w:val="-10"/>
        </w:rPr>
        <w:t> 年在新三板挂牌上市，先后获得“国家高新技术企业”“金</w:t>
      </w:r>
      <w:r>
        <w:rPr>
          <w:spacing w:val="-25"/>
        </w:rPr>
        <w:t>华名牌”“金华市著名商标”“浙江省清洁生产阶段性成果企业”“浙江省绿色企业”“浙江</w:t>
      </w:r>
      <w:r>
        <w:rPr>
          <w:spacing w:val="-10"/>
        </w:rPr>
        <w:t>省‘隐形冠军’培育企业名单”“浙江省守信用重合同 </w:t>
      </w:r>
      <w:r>
        <w:rPr/>
        <w:t>AAA</w:t>
      </w:r>
      <w:r>
        <w:rPr>
          <w:spacing w:val="-13"/>
        </w:rPr>
        <w:t> 级”“知识产权国家优势企业” </w:t>
      </w:r>
      <w:r>
        <w:rPr>
          <w:spacing w:val="-8"/>
        </w:rPr>
        <w:t>“金华市跨境电商先进企业”“浙江省省出口名牌企业”等荣誉称号，已成为行业内最具</w:t>
      </w:r>
      <w:r>
        <w:rPr/>
        <w:t>创新与成长力的企业。</w:t>
      </w:r>
    </w:p>
    <w:p>
      <w:pPr>
        <w:pStyle w:val="BodyText"/>
        <w:spacing w:line="364" w:lineRule="auto" w:before="5"/>
        <w:ind w:right="132" w:firstLine="480"/>
      </w:pPr>
      <w:r>
        <w:rPr>
          <w:spacing w:val="-1"/>
        </w:rPr>
        <w:t>我们始终坚持稳定老客户的同时不断努力地开拓新的客户的宗旨。根据市场需求变化，</w:t>
      </w:r>
      <w:r>
        <w:rPr>
          <w:spacing w:val="-117"/>
        </w:rPr>
        <w:t> </w:t>
      </w:r>
      <w:r>
        <w:rPr/>
        <w:t>我们在不断地创新技术和缩短差距，真正意义上想客户所想。公司立足科技创新，制造一流</w:t>
      </w:r>
      <w:r>
        <w:rPr>
          <w:spacing w:val="-1"/>
        </w:rPr>
        <w:t>的产品，从被动地响应市场变化转变为前瞻地应对市场，提高企业经营主动性，实现跨 越</w:t>
      </w:r>
      <w:r>
        <w:rPr>
          <w:spacing w:val="-2"/>
        </w:rPr>
        <w:t>式的发展。未来将积极开发植物纤维全降解产品，响应国家和全球限塑政策，保护环境。</w:t>
      </w:r>
    </w:p>
    <w:p>
      <w:pPr>
        <w:pStyle w:val="BodyText"/>
        <w:spacing w:before="9"/>
        <w:ind w:left="0"/>
        <w:rPr>
          <w:sz w:val="26"/>
        </w:rPr>
      </w:pPr>
    </w:p>
    <w:p>
      <w:pPr>
        <w:pStyle w:val="Heading1"/>
        <w:ind w:left="2095"/>
      </w:pPr>
      <w:bookmarkStart w:name="第二部分 报告正文" w:id="7"/>
      <w:bookmarkEnd w:id="7"/>
      <w:r>
        <w:rPr/>
      </w:r>
      <w:r>
        <w:rPr>
          <w:spacing w:val="-10"/>
        </w:rPr>
        <w:t>第二部分 报告正文</w:t>
      </w:r>
    </w:p>
    <w:p>
      <w:pPr>
        <w:pStyle w:val="BodyText"/>
        <w:spacing w:before="11"/>
        <w:ind w:left="0"/>
        <w:rPr>
          <w:sz w:val="42"/>
        </w:rPr>
      </w:pPr>
    </w:p>
    <w:p>
      <w:pPr>
        <w:pStyle w:val="Heading2"/>
      </w:pPr>
      <w:bookmarkStart w:name="一、企业质量理念" w:id="8"/>
      <w:bookmarkEnd w:id="8"/>
      <w:r>
        <w:rPr/>
      </w:r>
      <w:r>
        <w:rPr>
          <w:spacing w:val="-7"/>
        </w:rPr>
        <w:t>一、企业质量理念</w:t>
      </w:r>
    </w:p>
    <w:p>
      <w:pPr>
        <w:pStyle w:val="BodyText"/>
        <w:spacing w:before="214"/>
        <w:ind w:left="681"/>
      </w:pPr>
      <w:r>
        <w:rPr>
          <w:spacing w:val="-8"/>
        </w:rPr>
        <w:t>公司自创立至今，便致力于产品质量的管控。始终秉持产品质量是企业生存和发展的基</w:t>
      </w:r>
    </w:p>
    <w:p>
      <w:pPr>
        <w:spacing w:after="0"/>
        <w:sectPr>
          <w:pgSz w:w="11910" w:h="16840"/>
          <w:pgMar w:top="1440" w:bottom="280" w:left="1200" w:right="760"/>
        </w:sectPr>
      </w:pPr>
    </w:p>
    <w:p>
      <w:pPr>
        <w:pStyle w:val="BodyText"/>
        <w:spacing w:line="364" w:lineRule="auto" w:before="40"/>
        <w:ind w:right="249"/>
      </w:pPr>
      <w:r>
        <w:rPr>
          <w:spacing w:val="-8"/>
        </w:rPr>
        <w:t>石，是占领市场和赢得顾客的先决条件，质量源自于我心，企业依存于顾客的质量理念，不断的完善和提升公司的质量管理水平。公司以“质量第一、顾客满意，为顾客提供优质、环</w:t>
      </w:r>
      <w:r>
        <w:rPr>
          <w:spacing w:val="-15"/>
        </w:rPr>
        <w:t>保、安全的产品”为质量方针，将质量作为企业生存和发展的根本，以过程质量控制为重点，</w:t>
      </w:r>
      <w:r>
        <w:rPr>
          <w:spacing w:val="-117"/>
        </w:rPr>
        <w:t> </w:t>
      </w:r>
      <w:r>
        <w:rPr>
          <w:spacing w:val="-8"/>
        </w:rPr>
        <w:t>以顾客满意为宗旨，将质量管理理念融入企业整个生产经营中，质量意识深入每一位员工心</w:t>
      </w:r>
      <w:r>
        <w:rPr/>
        <w:t>中并落实到具体的工作中。</w:t>
      </w:r>
    </w:p>
    <w:p>
      <w:pPr>
        <w:pStyle w:val="Heading2"/>
        <w:spacing w:before="55"/>
      </w:pPr>
      <w:bookmarkStart w:name="二、企业质量管理" w:id="9"/>
      <w:bookmarkEnd w:id="9"/>
      <w:r>
        <w:rPr/>
      </w:r>
      <w:r>
        <w:rPr/>
        <w:t>二、企业质量管理</w:t>
      </w:r>
    </w:p>
    <w:p>
      <w:pPr>
        <w:pStyle w:val="BodyText"/>
        <w:spacing w:before="214"/>
        <w:ind w:left="698"/>
      </w:pPr>
      <w:bookmarkStart w:name="（一）质量管理机构" w:id="10"/>
      <w:bookmarkEnd w:id="10"/>
      <w:r>
        <w:rPr/>
      </w:r>
      <w:r>
        <w:rPr/>
        <w:t>（一）质量管理机构</w:t>
      </w:r>
    </w:p>
    <w:p>
      <w:pPr>
        <w:pStyle w:val="BodyText"/>
        <w:spacing w:line="364" w:lineRule="auto"/>
        <w:ind w:right="363" w:firstLine="463"/>
        <w:jc w:val="both"/>
      </w:pPr>
      <w:r>
        <w:rPr>
          <w:spacing w:val="-8"/>
        </w:rPr>
        <w:t>为使质量诚信管理体系正常运转，公司在组织机构上进行合理的划分，人员实施优化组合，由总经理担任公司质量诚信管理总负责人，全面负责公司的各项日常管理工作，品质部</w:t>
      </w:r>
      <w:r>
        <w:rPr/>
        <w:t>经理负责公司产品质量把控。</w:t>
      </w:r>
    </w:p>
    <w:p>
      <w:pPr>
        <w:pStyle w:val="BodyText"/>
        <w:spacing w:line="364" w:lineRule="auto" w:before="2" w:after="6"/>
        <w:ind w:right="363" w:firstLine="463"/>
        <w:jc w:val="both"/>
      </w:pPr>
      <w:r>
        <w:rPr>
          <w:spacing w:val="-8"/>
        </w:rPr>
        <w:t>公司设立业务部、行政部、采购部、技术部、生产部、品质部等职能部门，明确了各部门及相应管理人员的职责，共同完成公司的质量诚信管理工作，保证质量诚信管理体系的有</w:t>
      </w:r>
      <w:r>
        <w:rPr>
          <w:spacing w:val="-16"/>
        </w:rPr>
        <w:t>效运行和持续改进，从而实现质量诚信目标。</w:t>
      </w:r>
      <w:r>
        <w:rPr>
          <w:spacing w:val="-8"/>
        </w:rPr>
        <w:t>（</w:t>
      </w:r>
      <w:r>
        <w:rPr>
          <w:spacing w:val="-27"/>
        </w:rPr>
        <w:t>见图 </w:t>
      </w:r>
      <w:r>
        <w:rPr>
          <w:spacing w:val="-3"/>
        </w:rPr>
        <w:t>1）</w:t>
      </w:r>
    </w:p>
    <w:p>
      <w:pPr>
        <w:pStyle w:val="BodyText"/>
        <w:spacing w:before="0"/>
        <w:rPr>
          <w:sz w:val="20"/>
        </w:rPr>
      </w:pPr>
      <w:r>
        <w:rPr>
          <w:sz w:val="20"/>
        </w:rPr>
        <w:drawing>
          <wp:inline distT="0" distB="0" distL="0" distR="0">
            <wp:extent cx="6092480" cy="226018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92480" cy="2260187"/>
                    </a:xfrm>
                    <a:prstGeom prst="rect">
                      <a:avLst/>
                    </a:prstGeom>
                  </pic:spPr>
                </pic:pic>
              </a:graphicData>
            </a:graphic>
          </wp:inline>
        </w:drawing>
      </w:r>
      <w:r>
        <w:rPr>
          <w:sz w:val="20"/>
        </w:rPr>
      </w:r>
    </w:p>
    <w:p>
      <w:pPr>
        <w:pStyle w:val="BodyText"/>
        <w:spacing w:before="3"/>
        <w:ind w:left="0"/>
        <w:rPr>
          <w:sz w:val="20"/>
        </w:rPr>
      </w:pPr>
    </w:p>
    <w:p>
      <w:pPr>
        <w:pStyle w:val="BodyText"/>
        <w:spacing w:before="0"/>
        <w:ind w:left="2095" w:right="2242"/>
        <w:jc w:val="center"/>
      </w:pPr>
      <w:r>
        <w:rPr>
          <w:spacing w:val="-30"/>
        </w:rPr>
        <w:t>图 </w:t>
      </w:r>
      <w:r>
        <w:rPr/>
        <w:t>1 公司组织架构图</w:t>
      </w:r>
    </w:p>
    <w:p>
      <w:pPr>
        <w:pStyle w:val="BodyText"/>
        <w:spacing w:before="6"/>
        <w:ind w:left="0"/>
        <w:rPr>
          <w:sz w:val="18"/>
        </w:rPr>
      </w:pPr>
    </w:p>
    <w:p>
      <w:pPr>
        <w:pStyle w:val="BodyText"/>
        <w:spacing w:line="364" w:lineRule="auto" w:before="1"/>
        <w:ind w:right="363" w:firstLine="463"/>
        <w:jc w:val="both"/>
      </w:pPr>
      <w:r>
        <w:rPr>
          <w:spacing w:val="-8"/>
        </w:rPr>
        <w:t>为建立健全适应本企业实际的质量管理体系，扎实有效地落实管理产品生产中的各项工作，确保产品质量管理体系有效运行，保障产品质量以及顾客的合法权益。本公司严格把控产品检测，具体规定品质部的具体职责：制定公司质量管理目标及实施方案，全面负责公司产品质量考核、客户投诉管理工作，对产品所需物料的进料检验、制程检验、成品检验及出</w:t>
      </w:r>
      <w:r>
        <w:rPr/>
        <w:t>货检验负责。</w:t>
      </w:r>
    </w:p>
    <w:p>
      <w:pPr>
        <w:pStyle w:val="BodyText"/>
        <w:spacing w:line="364" w:lineRule="auto" w:before="3"/>
        <w:ind w:right="365" w:firstLine="463"/>
      </w:pPr>
      <w:r>
        <w:rPr>
          <w:spacing w:val="-8"/>
        </w:rPr>
        <w:t>公司同时设立了首席质量官，确定首席质量官的职责和权限，对质量实行一票否则，全</w:t>
      </w:r>
      <w:r>
        <w:rPr>
          <w:spacing w:val="-10"/>
        </w:rPr>
        <w:t>面建立公司质量文化。因对产品和服务质量安全的重视，公司总经理履行了如下的职责：</w:t>
      </w:r>
    </w:p>
    <w:p>
      <w:pPr>
        <w:spacing w:after="0" w:line="364" w:lineRule="auto"/>
        <w:sectPr>
          <w:pgSz w:w="11910" w:h="16840"/>
          <w:pgMar w:top="1440" w:bottom="280" w:left="1200" w:right="760"/>
        </w:sectPr>
      </w:pPr>
    </w:p>
    <w:p>
      <w:pPr>
        <w:pStyle w:val="ListParagraph"/>
        <w:numPr>
          <w:ilvl w:val="0"/>
          <w:numId w:val="1"/>
        </w:numPr>
        <w:tabs>
          <w:tab w:pos="1038" w:val="left" w:leader="none"/>
        </w:tabs>
        <w:spacing w:line="240" w:lineRule="auto" w:before="40" w:after="0"/>
        <w:ind w:left="1037" w:right="0" w:hanging="357"/>
        <w:jc w:val="left"/>
        <w:rPr>
          <w:sz w:val="24"/>
        </w:rPr>
      </w:pPr>
      <w:r>
        <w:rPr>
          <w:spacing w:val="-10"/>
          <w:sz w:val="24"/>
        </w:rPr>
        <w:t>参与品质战略的制订、评审确定品质战略；</w:t>
      </w:r>
    </w:p>
    <w:p>
      <w:pPr>
        <w:pStyle w:val="ListParagraph"/>
        <w:numPr>
          <w:ilvl w:val="0"/>
          <w:numId w:val="1"/>
        </w:numPr>
        <w:tabs>
          <w:tab w:pos="1038" w:val="left" w:leader="none"/>
        </w:tabs>
        <w:spacing w:line="240" w:lineRule="auto" w:before="161" w:after="0"/>
        <w:ind w:left="1037" w:right="0" w:hanging="357"/>
        <w:jc w:val="left"/>
        <w:rPr>
          <w:sz w:val="24"/>
        </w:rPr>
      </w:pPr>
      <w:r>
        <w:rPr>
          <w:spacing w:val="-10"/>
          <w:sz w:val="24"/>
        </w:rPr>
        <w:t>向本组织传达满足顾客要求和法律法规要求的重要性；</w:t>
      </w:r>
    </w:p>
    <w:p>
      <w:pPr>
        <w:pStyle w:val="ListParagraph"/>
        <w:numPr>
          <w:ilvl w:val="0"/>
          <w:numId w:val="1"/>
        </w:numPr>
        <w:tabs>
          <w:tab w:pos="1038" w:val="left" w:leader="none"/>
        </w:tabs>
        <w:spacing w:line="240" w:lineRule="auto" w:before="160" w:after="0"/>
        <w:ind w:left="1037" w:right="0" w:hanging="357"/>
        <w:jc w:val="left"/>
        <w:rPr>
          <w:sz w:val="24"/>
        </w:rPr>
      </w:pPr>
      <w:r>
        <w:rPr>
          <w:sz w:val="24"/>
        </w:rPr>
        <w:t>制定质量方针；</w:t>
      </w:r>
    </w:p>
    <w:p>
      <w:pPr>
        <w:pStyle w:val="ListParagraph"/>
        <w:numPr>
          <w:ilvl w:val="0"/>
          <w:numId w:val="1"/>
        </w:numPr>
        <w:tabs>
          <w:tab w:pos="1038" w:val="left" w:leader="none"/>
        </w:tabs>
        <w:spacing w:line="240" w:lineRule="auto" w:before="161" w:after="0"/>
        <w:ind w:left="1037" w:right="0" w:hanging="357"/>
        <w:jc w:val="left"/>
        <w:rPr>
          <w:sz w:val="24"/>
        </w:rPr>
      </w:pPr>
      <w:r>
        <w:rPr>
          <w:spacing w:val="-3"/>
          <w:sz w:val="24"/>
        </w:rPr>
        <w:t>确保质量目标的制定；</w:t>
      </w:r>
    </w:p>
    <w:p>
      <w:pPr>
        <w:pStyle w:val="ListParagraph"/>
        <w:numPr>
          <w:ilvl w:val="0"/>
          <w:numId w:val="1"/>
        </w:numPr>
        <w:tabs>
          <w:tab w:pos="1038" w:val="left" w:leader="none"/>
        </w:tabs>
        <w:spacing w:line="240" w:lineRule="auto" w:before="160" w:after="0"/>
        <w:ind w:left="1037" w:right="0" w:hanging="357"/>
        <w:jc w:val="left"/>
        <w:rPr>
          <w:sz w:val="24"/>
        </w:rPr>
      </w:pPr>
      <w:r>
        <w:rPr>
          <w:sz w:val="24"/>
        </w:rPr>
        <w:t>进行管理评审；</w:t>
      </w:r>
    </w:p>
    <w:p>
      <w:pPr>
        <w:pStyle w:val="ListParagraph"/>
        <w:numPr>
          <w:ilvl w:val="0"/>
          <w:numId w:val="1"/>
        </w:numPr>
        <w:tabs>
          <w:tab w:pos="1038" w:val="left" w:leader="none"/>
        </w:tabs>
        <w:spacing w:line="240" w:lineRule="auto" w:before="161" w:after="0"/>
        <w:ind w:left="1037" w:right="0" w:hanging="357"/>
        <w:jc w:val="left"/>
        <w:rPr>
          <w:sz w:val="24"/>
        </w:rPr>
      </w:pPr>
      <w:r>
        <w:rPr>
          <w:spacing w:val="-2"/>
          <w:sz w:val="24"/>
        </w:rPr>
        <w:t>确保资源的获得；</w:t>
      </w:r>
    </w:p>
    <w:p>
      <w:pPr>
        <w:pStyle w:val="ListParagraph"/>
        <w:numPr>
          <w:ilvl w:val="0"/>
          <w:numId w:val="1"/>
        </w:numPr>
        <w:tabs>
          <w:tab w:pos="1038" w:val="left" w:leader="none"/>
        </w:tabs>
        <w:spacing w:line="240" w:lineRule="auto" w:before="160" w:after="0"/>
        <w:ind w:left="1037" w:right="0" w:hanging="357"/>
        <w:jc w:val="left"/>
        <w:rPr>
          <w:sz w:val="24"/>
        </w:rPr>
      </w:pPr>
      <w:r>
        <w:rPr>
          <w:spacing w:val="-4"/>
          <w:sz w:val="24"/>
        </w:rPr>
        <w:t>亲自参与每月质量例会；</w:t>
      </w:r>
    </w:p>
    <w:p>
      <w:pPr>
        <w:pStyle w:val="ListParagraph"/>
        <w:numPr>
          <w:ilvl w:val="0"/>
          <w:numId w:val="1"/>
        </w:numPr>
        <w:tabs>
          <w:tab w:pos="1038" w:val="left" w:leader="none"/>
        </w:tabs>
        <w:spacing w:line="240" w:lineRule="auto" w:before="161" w:after="0"/>
        <w:ind w:left="1037" w:right="0" w:hanging="357"/>
        <w:jc w:val="left"/>
        <w:rPr>
          <w:sz w:val="24"/>
        </w:rPr>
      </w:pPr>
      <w:r>
        <w:rPr>
          <w:spacing w:val="-6"/>
          <w:sz w:val="24"/>
        </w:rPr>
        <w:t>参与重大产品质量评审和质量改进活动；</w:t>
      </w:r>
    </w:p>
    <w:p>
      <w:pPr>
        <w:pStyle w:val="ListParagraph"/>
        <w:numPr>
          <w:ilvl w:val="0"/>
          <w:numId w:val="1"/>
        </w:numPr>
        <w:tabs>
          <w:tab w:pos="1038" w:val="left" w:leader="none"/>
        </w:tabs>
        <w:spacing w:line="240" w:lineRule="auto" w:before="160" w:after="0"/>
        <w:ind w:left="1037" w:right="0" w:hanging="357"/>
        <w:jc w:val="left"/>
        <w:rPr>
          <w:sz w:val="24"/>
        </w:rPr>
      </w:pPr>
      <w:r>
        <w:rPr>
          <w:spacing w:val="-2"/>
          <w:sz w:val="24"/>
        </w:rPr>
        <w:t>参与质量表彰活动；</w:t>
      </w:r>
    </w:p>
    <w:p>
      <w:pPr>
        <w:pStyle w:val="ListParagraph"/>
        <w:numPr>
          <w:ilvl w:val="0"/>
          <w:numId w:val="1"/>
        </w:numPr>
        <w:tabs>
          <w:tab w:pos="1156" w:val="left" w:leader="none"/>
        </w:tabs>
        <w:spacing w:line="240" w:lineRule="auto" w:before="161" w:after="0"/>
        <w:ind w:left="1155" w:right="0" w:hanging="475"/>
        <w:jc w:val="left"/>
        <w:rPr>
          <w:sz w:val="24"/>
        </w:rPr>
      </w:pPr>
      <w:r>
        <w:rPr>
          <w:spacing w:val="-6"/>
          <w:sz w:val="24"/>
        </w:rPr>
        <w:t>参与质量月活动，普及质量安全教育；</w:t>
      </w:r>
    </w:p>
    <w:p>
      <w:pPr>
        <w:pStyle w:val="ListParagraph"/>
        <w:numPr>
          <w:ilvl w:val="0"/>
          <w:numId w:val="1"/>
        </w:numPr>
        <w:tabs>
          <w:tab w:pos="1156" w:val="left" w:leader="none"/>
        </w:tabs>
        <w:spacing w:line="240" w:lineRule="auto" w:before="160" w:after="0"/>
        <w:ind w:left="1155" w:right="0" w:hanging="475"/>
        <w:jc w:val="left"/>
        <w:rPr>
          <w:sz w:val="24"/>
        </w:rPr>
      </w:pPr>
      <w:r>
        <w:rPr>
          <w:spacing w:val="-10"/>
          <w:sz w:val="24"/>
        </w:rPr>
        <w:t>建立明确的质量事故问责制、质量安全追溯制度。</w:t>
      </w:r>
    </w:p>
    <w:p>
      <w:pPr>
        <w:pStyle w:val="BodyText"/>
        <w:spacing w:before="161"/>
        <w:ind w:left="698"/>
      </w:pPr>
      <w:bookmarkStart w:name="（二）质量管理体系" w:id="11"/>
      <w:bookmarkEnd w:id="11"/>
      <w:r>
        <w:rPr/>
      </w:r>
      <w:r>
        <w:rPr/>
        <w:t>（二）质量管理体系</w:t>
      </w:r>
    </w:p>
    <w:p>
      <w:pPr>
        <w:pStyle w:val="BodyText"/>
        <w:spacing w:line="364" w:lineRule="auto"/>
        <w:ind w:right="363" w:firstLine="463"/>
        <w:jc w:val="both"/>
      </w:pPr>
      <w:r>
        <w:rPr>
          <w:spacing w:val="-8"/>
        </w:rPr>
        <w:t>公司高度重视产品品质，认真履行产品和服务质量安全职责。公司领导始终践行企业社会责任，为提升产品的质量安全性能，建立了一套切合企业发展，促进企业自身与客户共赢</w:t>
      </w:r>
      <w:r>
        <w:rPr>
          <w:spacing w:val="-13"/>
        </w:rPr>
        <w:t>的质量安全管控体系。从“设计/研发—采购—生产—成品”，每个环节都设置了缜密的控制</w:t>
      </w:r>
      <w:r>
        <w:rPr/>
        <w:t>体系，进行严格的管控。</w:t>
      </w:r>
    </w:p>
    <w:p>
      <w:pPr>
        <w:pStyle w:val="BodyText"/>
        <w:spacing w:before="3"/>
        <w:ind w:left="698"/>
      </w:pPr>
      <w:r>
        <w:rPr/>
        <w:t>（1）质量目标</w:t>
      </w:r>
    </w:p>
    <w:p>
      <w:pPr>
        <w:pStyle w:val="BodyText"/>
        <w:spacing w:line="364" w:lineRule="auto"/>
        <w:ind w:right="365" w:firstLine="463"/>
      </w:pPr>
      <w:r>
        <w:rPr>
          <w:spacing w:val="-8"/>
        </w:rPr>
        <w:t>公司将继续加强质量基础建设，强化管理创新和技术创新，提高总体质量水平和自主创</w:t>
      </w:r>
      <w:r>
        <w:rPr>
          <w:spacing w:val="-19"/>
        </w:rPr>
        <w:t>新能力，到 </w:t>
      </w:r>
      <w:r>
        <w:rPr>
          <w:spacing w:val="-3"/>
        </w:rPr>
        <w:t>2020</w:t>
      </w:r>
      <w:r>
        <w:rPr>
          <w:spacing w:val="-16"/>
        </w:rPr>
        <w:t> 年质量建设要取得显著成效。</w:t>
      </w:r>
    </w:p>
    <w:p>
      <w:pPr>
        <w:pStyle w:val="BodyText"/>
        <w:spacing w:line="364" w:lineRule="auto" w:before="1"/>
        <w:ind w:right="365" w:firstLine="463"/>
      </w:pPr>
      <w:r>
        <w:rPr>
          <w:spacing w:val="-8"/>
        </w:rPr>
        <w:t>“质量第一、顾客满意，为顾客提供优质、环保、安全的产品”是万得福的质量方针，</w:t>
      </w:r>
      <w:r>
        <w:rPr>
          <w:spacing w:val="-117"/>
        </w:rPr>
        <w:t> </w:t>
      </w:r>
      <w:r>
        <w:rPr/>
        <w:t>按“方针”精神，公司要求在年度质量总目标达标率为：</w:t>
      </w:r>
    </w:p>
    <w:p>
      <w:pPr>
        <w:pStyle w:val="ListParagraph"/>
        <w:numPr>
          <w:ilvl w:val="0"/>
          <w:numId w:val="2"/>
        </w:numPr>
        <w:tabs>
          <w:tab w:pos="1271" w:val="left" w:leader="none"/>
        </w:tabs>
        <w:spacing w:line="240" w:lineRule="auto" w:before="2" w:after="0"/>
        <w:ind w:left="1270" w:right="0" w:hanging="590"/>
        <w:jc w:val="left"/>
        <w:rPr>
          <w:sz w:val="24"/>
        </w:rPr>
      </w:pPr>
      <w:r>
        <w:rPr>
          <w:spacing w:val="-8"/>
          <w:sz w:val="24"/>
        </w:rPr>
        <w:t>产品一次交验合格率 ≥</w:t>
      </w:r>
      <w:r>
        <w:rPr>
          <w:spacing w:val="-5"/>
          <w:sz w:val="24"/>
        </w:rPr>
        <w:t>95%</w:t>
      </w:r>
    </w:p>
    <w:p>
      <w:pPr>
        <w:pStyle w:val="ListParagraph"/>
        <w:numPr>
          <w:ilvl w:val="0"/>
          <w:numId w:val="2"/>
        </w:numPr>
        <w:tabs>
          <w:tab w:pos="1271" w:val="left" w:leader="none"/>
        </w:tabs>
        <w:spacing w:line="240" w:lineRule="auto" w:before="160" w:after="0"/>
        <w:ind w:left="1270" w:right="0" w:hanging="590"/>
        <w:jc w:val="left"/>
        <w:rPr>
          <w:sz w:val="24"/>
        </w:rPr>
      </w:pPr>
      <w:r>
        <w:rPr>
          <w:spacing w:val="-1"/>
          <w:sz w:val="24"/>
        </w:rPr>
        <w:t>顾客满意度≥</w:t>
      </w:r>
      <w:r>
        <w:rPr>
          <w:sz w:val="24"/>
        </w:rPr>
        <w:t>90%</w:t>
      </w:r>
    </w:p>
    <w:p>
      <w:pPr>
        <w:pStyle w:val="BodyText"/>
        <w:spacing w:line="364" w:lineRule="auto" w:before="161"/>
        <w:ind w:right="363" w:firstLine="463"/>
      </w:pPr>
      <w:r>
        <w:rPr>
          <w:spacing w:val="-8"/>
        </w:rPr>
        <w:t>公司要求，品质总体目标每年有所改善和品质提升。公司授权质量管理部对质量目标的</w:t>
      </w:r>
      <w:r>
        <w:rPr/>
        <w:t>执行和达成情况进行督查、统计、分析；分析、统计结果报管理者代表与最高管理者。</w:t>
      </w:r>
    </w:p>
    <w:p>
      <w:pPr>
        <w:pStyle w:val="BodyText"/>
        <w:spacing w:before="1"/>
        <w:ind w:left="698"/>
      </w:pPr>
      <w:r>
        <w:rPr/>
        <w:t>（2）质量教育</w:t>
      </w:r>
    </w:p>
    <w:p>
      <w:pPr>
        <w:pStyle w:val="BodyText"/>
        <w:spacing w:line="364" w:lineRule="auto"/>
        <w:ind w:right="437" w:firstLine="463"/>
        <w:jc w:val="both"/>
      </w:pPr>
      <w:r>
        <w:rPr>
          <w:spacing w:val="-10"/>
        </w:rPr>
        <w:t>为实现公司持续经营，有效落实组织员工的质量教育，公司制定了质量教育培训管理制度，并每年制定并执行培训计划，塑造企业讲诚信的道德环境。在体系运行过程中，公司基于</w:t>
      </w:r>
      <w:r>
        <w:rPr>
          <w:spacing w:val="-4"/>
        </w:rPr>
        <w:t>PDCA</w:t>
      </w:r>
      <w:r>
        <w:rPr>
          <w:spacing w:val="-10"/>
        </w:rPr>
        <w:t>的系统方法，运用各种科学、有效的工具，测量、分析、改进质量管理体系的有效性及各部门、各层次的绩效，并采用标杆对比和学习的方式，不断修正个人工作思想和意识，</w:t>
      </w:r>
    </w:p>
    <w:p>
      <w:pPr>
        <w:spacing w:after="0" w:line="364" w:lineRule="auto"/>
        <w:jc w:val="both"/>
        <w:sectPr>
          <w:pgSz w:w="11910" w:h="16840"/>
          <w:pgMar w:top="1440" w:bottom="280" w:left="1200" w:right="760"/>
        </w:sectPr>
      </w:pPr>
    </w:p>
    <w:p>
      <w:pPr>
        <w:pStyle w:val="BodyText"/>
        <w:spacing w:line="364" w:lineRule="auto" w:before="40"/>
        <w:ind w:right="437"/>
        <w:jc w:val="both"/>
      </w:pPr>
      <w:r>
        <w:rPr>
          <w:spacing w:val="-10"/>
        </w:rPr>
        <w:t>确保实现个人和公司整体目标。公司内部建立培训师制度，根据公司的具体情况，开展各项教育培训工作；对外，积极与顾客和政府职能部门及各类培训机构外部进行沟通交流，适时邀请专家对公司员工进行专项培训。公司定期结合体系运行情况和质量实际表现情况，对各级员工开展有针对性的质量教育，对质量控制点进行专项管理，确保制造过程产品质量的一</w:t>
      </w:r>
      <w:r>
        <w:rPr/>
        <w:t>致性。</w:t>
      </w:r>
    </w:p>
    <w:p>
      <w:pPr>
        <w:pStyle w:val="BodyText"/>
        <w:spacing w:line="364" w:lineRule="auto" w:before="3"/>
        <w:ind w:right="437" w:firstLine="463"/>
        <w:jc w:val="both"/>
      </w:pPr>
      <w:r>
        <w:rPr>
          <w:spacing w:val="-10"/>
        </w:rPr>
        <w:t>为牢固树立全体员工的诚信意识，公司每年年初制定本年度的质量诚信教育培训计划。实行三级质量诚信教育培训。由公司组织一级教育工作。各部门负责人根据公司要求，编制教育培训计划和内容，认真组织实施下属的教育培训。各班组长负责员工的诚信宣传教育工作。公司通过网站、企业微信群进行传达，利用早会等多种方式对企业员工实施质量诚信教育。公司对在质量诚信教育培训中成绩优异的人员给予一定的奖励，通过培训后在工作岗位上起着模范带头或成绩突出的员工也给予一定奖励，同时在员工中宣传和推广经验。对不按</w:t>
      </w:r>
      <w:r>
        <w:rPr/>
        <w:t>时参加质量诚信教育培训或未通过培训考核的员工，给予一定的处罚。</w:t>
      </w:r>
    </w:p>
    <w:p>
      <w:pPr>
        <w:pStyle w:val="BodyText"/>
        <w:spacing w:before="4"/>
        <w:ind w:left="698"/>
      </w:pPr>
      <w:bookmarkStart w:name="（三）质量安全风险管理" w:id="12"/>
      <w:bookmarkEnd w:id="12"/>
      <w:r>
        <w:rPr/>
      </w:r>
      <w:r>
        <w:rPr/>
        <w:t>（三）质量安全风险管理</w:t>
      </w:r>
    </w:p>
    <w:p>
      <w:pPr>
        <w:pStyle w:val="BodyText"/>
        <w:spacing w:line="364" w:lineRule="auto" w:before="161"/>
        <w:ind w:right="369" w:firstLine="480"/>
        <w:jc w:val="both"/>
      </w:pPr>
      <w:r>
        <w:rPr>
          <w:spacing w:val="-1"/>
        </w:rPr>
        <w:t>万得福重视质量风险管理工作，每年动态修订更新内控制度，组织内控综合检查。为了确保产品的正常使用和对于重大质量安全事故的监测和风险评估，成立了以总经理为核心的战略领导和统筹机构，快速有效地应对各种风险。公司在客服体系中建立完善的危机性质量安全事故的跟踪和处理机制，并成立专门的重大事故处理小组负责质量安全事故的全程跟进和处理，并时刻识别产品在策划、设计、制造、运输、安装和使用等过程中的质量安全风险点，从根本上杜绝质量安全风险的发生。上述各项风险的处理和管控有专门的制度保证、专职的部门和领导负责、有标准的操作流程，迅速高效，把控有力。公司自成</w:t>
      </w:r>
      <w:r>
        <w:rPr/>
        <w:t>立至今，未出现过大风险和危机事件，在行内享有盛誉。</w:t>
      </w:r>
    </w:p>
    <w:p>
      <w:pPr>
        <w:pStyle w:val="BodyText"/>
        <w:spacing w:before="5"/>
        <w:ind w:left="698"/>
      </w:pPr>
      <w:r>
        <w:rPr>
          <w:spacing w:val="-1"/>
        </w:rPr>
        <w:t>在产品检测方面，对产品质量进行严格把控。在整个流程中，根据自身产品特点制定</w:t>
      </w:r>
    </w:p>
    <w:p>
      <w:pPr>
        <w:pStyle w:val="BodyText"/>
        <w:spacing w:line="364" w:lineRule="auto"/>
        <w:ind w:right="372"/>
        <w:jc w:val="both"/>
      </w:pPr>
      <w:r>
        <w:rPr>
          <w:spacing w:val="-20"/>
        </w:rPr>
        <w:t>《采购控制程序》《生产和服务提供控制程序》《产品、过程监视和测量控制程序》《不合</w:t>
      </w:r>
      <w:r>
        <w:rPr>
          <w:spacing w:val="-1"/>
        </w:rPr>
        <w:t>格品控制程序》等程序文件，在采购物资、产品和服务的提供过程以及最终检查进行验证活动，确保只有满足要求的产品和服务才能够放行交付给顾客。品质部保留有关产品和服</w:t>
      </w:r>
      <w:r>
        <w:rPr/>
        <w:t>务放行的成文信息，包括检验或验收记录以及授权放行人员的可追溯性信息。</w:t>
      </w:r>
    </w:p>
    <w:p>
      <w:pPr>
        <w:pStyle w:val="BodyText"/>
        <w:spacing w:line="364" w:lineRule="auto" w:before="3"/>
        <w:ind w:right="370" w:firstLine="480"/>
        <w:jc w:val="both"/>
      </w:pPr>
      <w:r>
        <w:rPr>
          <w:spacing w:val="-1"/>
        </w:rPr>
        <w:t>我公司一方面制定了严格的产品检验放行制度，严格把控不合格产品的流出；另一方面公司制定了《销售应急预案》等制度，针对潜在的质量失信事件或紧急、突发事件能做</w:t>
      </w:r>
      <w:r>
        <w:rPr/>
        <w:t>出及时响应。</w:t>
      </w:r>
    </w:p>
    <w:p>
      <w:pPr>
        <w:pStyle w:val="BodyText"/>
        <w:spacing w:before="1"/>
        <w:ind w:left="681"/>
      </w:pPr>
      <w:r>
        <w:rPr>
          <w:spacing w:val="-10"/>
        </w:rPr>
        <w:t>公司定期组织人员开展质量风险监测行动，并就当前的公司质量状况，进行分析，并制</w:t>
      </w:r>
    </w:p>
    <w:p>
      <w:pPr>
        <w:spacing w:after="0"/>
        <w:sectPr>
          <w:pgSz w:w="11910" w:h="16840"/>
          <w:pgMar w:top="1440" w:bottom="280" w:left="1200" w:right="760"/>
        </w:sectPr>
      </w:pPr>
    </w:p>
    <w:p>
      <w:pPr>
        <w:pStyle w:val="BodyText"/>
        <w:spacing w:line="364" w:lineRule="auto" w:before="40"/>
        <w:ind w:right="249"/>
      </w:pPr>
      <w:r>
        <w:rPr>
          <w:spacing w:val="-10"/>
        </w:rPr>
        <w:t>定有效且具有针对性的解决方案，不断优化和改进自身质量管理，不断完善质量风险监测制</w:t>
      </w:r>
      <w:r>
        <w:rPr>
          <w:spacing w:val="-14"/>
        </w:rPr>
        <w:t>度；同时公司将定期对内部进行质量安全风险状况评估，分析质量安全风险项，并及时改进，</w:t>
      </w:r>
      <w:r>
        <w:rPr>
          <w:spacing w:val="-117"/>
        </w:rPr>
        <w:t> </w:t>
      </w:r>
      <w:r>
        <w:rPr/>
        <w:t>降低企业质量安全风险，为产品质量提供保障。</w:t>
      </w:r>
    </w:p>
    <w:p>
      <w:pPr>
        <w:pStyle w:val="Heading2"/>
        <w:spacing w:before="209"/>
      </w:pPr>
      <w:bookmarkStart w:name="三、企业质量诚信" w:id="13"/>
      <w:bookmarkEnd w:id="13"/>
      <w:r>
        <w:rPr/>
      </w:r>
      <w:r>
        <w:rPr/>
        <w:t>三、企业质量诚信</w:t>
      </w:r>
    </w:p>
    <w:p>
      <w:pPr>
        <w:pStyle w:val="BodyText"/>
        <w:spacing w:before="214"/>
        <w:ind w:left="698"/>
      </w:pPr>
      <w:bookmarkStart w:name="（一）质量诚信管理" w:id="14"/>
      <w:bookmarkEnd w:id="14"/>
      <w:r>
        <w:rPr/>
      </w:r>
      <w:r>
        <w:rPr/>
        <w:t>（一）质量诚信管理</w:t>
      </w:r>
    </w:p>
    <w:p>
      <w:pPr>
        <w:pStyle w:val="BodyText"/>
        <w:spacing w:line="364" w:lineRule="auto" w:before="161"/>
        <w:ind w:right="249" w:firstLine="463"/>
      </w:pPr>
      <w:r>
        <w:rPr>
          <w:spacing w:val="-10"/>
        </w:rPr>
        <w:t>长期以来，公司的高层领导从企业的核心价值观出发，在实施企业文化建设的过程中十分重视企业道德文化的培育，努力营造以企业高层领导身体力行、全体员工积极参与的崇尚</w:t>
      </w:r>
      <w:r>
        <w:rPr>
          <w:spacing w:val="-22"/>
        </w:rPr>
        <w:t>道德修养的良好氛围。公司依据《公司法》《会计法》《劳动法》等国家的法律法规，建立健</w:t>
      </w:r>
      <w:r>
        <w:rPr>
          <w:spacing w:val="-14"/>
        </w:rPr>
        <w:t>全公司质量管理体系；公司高层管理者从严管理，以身作则，作为遵纪守法的示范者和标杆，</w:t>
      </w:r>
      <w:r>
        <w:rPr>
          <w:spacing w:val="-117"/>
        </w:rPr>
        <w:t> </w:t>
      </w:r>
      <w:r>
        <w:rPr/>
        <w:t>在经营活动中坚持依法经营，从公司成立以来，公司高层管理者没有一位违法违规。</w:t>
      </w:r>
    </w:p>
    <w:p>
      <w:pPr>
        <w:pStyle w:val="BodyText"/>
        <w:spacing w:line="364" w:lineRule="auto" w:before="3"/>
        <w:ind w:right="437" w:firstLine="463"/>
        <w:jc w:val="both"/>
      </w:pPr>
      <w:r>
        <w:rPr>
          <w:spacing w:val="-10"/>
        </w:rPr>
        <w:t>公司实施依法纳税，依法缴费，财务制度健全，账目规范，每年委托税务局和审计局开展汇算清缴和审计，积极配合国税、地税进行税务稽查，同时公司遵守市场规则，信贷记录</w:t>
      </w:r>
      <w:r>
        <w:rPr/>
        <w:t>良好。</w:t>
      </w:r>
    </w:p>
    <w:p>
      <w:pPr>
        <w:pStyle w:val="BodyText"/>
        <w:spacing w:before="158"/>
        <w:ind w:left="698"/>
      </w:pPr>
      <w:bookmarkStart w:name="（二）质量文化建设" w:id="15"/>
      <w:bookmarkEnd w:id="15"/>
      <w:r>
        <w:rPr/>
      </w:r>
      <w:r>
        <w:rPr/>
        <w:t>（二）质量文化建设</w:t>
      </w:r>
    </w:p>
    <w:p>
      <w:pPr>
        <w:pStyle w:val="BodyText"/>
        <w:spacing w:line="364" w:lineRule="auto"/>
        <w:ind w:right="249" w:firstLine="463"/>
      </w:pPr>
      <w:r>
        <w:rPr>
          <w:spacing w:val="-10"/>
        </w:rPr>
        <w:t>公司在开展项目和签订合同时施行法律顾问及领导把关的风险控制联动机制，努力从源</w:t>
      </w:r>
      <w:r>
        <w:rPr>
          <w:spacing w:val="-17"/>
        </w:rPr>
        <w:t>头上防范和控制法律风险，同时公司建有会议室、宣传栏，通过学习《安全生产法</w:t>
      </w:r>
      <w:r>
        <w:rPr>
          <w:spacing w:val="-33"/>
        </w:rPr>
        <w:t>》《工会法》</w:t>
      </w:r>
      <w:r>
        <w:rPr>
          <w:spacing w:val="-10"/>
        </w:rPr>
        <w:t>等与企业和员工息息相关的法律法规，极大地提高了广大干部和员工对于法律法规的认知，</w:t>
      </w:r>
      <w:r>
        <w:rPr>
          <w:spacing w:val="1"/>
        </w:rPr>
        <w:t> </w:t>
      </w:r>
      <w:r>
        <w:rPr>
          <w:spacing w:val="-10"/>
        </w:rPr>
        <w:t>增强了企业经营管理人员的诚信经营和市场规则意识，在工作和生活中知法、守法已成为广</w:t>
      </w:r>
      <w:r>
        <w:rPr/>
        <w:t>大员工的自觉行为规范。</w:t>
      </w:r>
    </w:p>
    <w:p>
      <w:pPr>
        <w:pStyle w:val="BodyText"/>
        <w:spacing w:line="364" w:lineRule="auto" w:before="3"/>
        <w:ind w:right="369" w:firstLine="463"/>
      </w:pPr>
      <w:r>
        <w:rPr>
          <w:spacing w:val="-10"/>
        </w:rPr>
        <w:t>公司积极进行质量文化建设，鼓励员工积极参与群众性质量管理活动，充分发挥每个员</w:t>
      </w:r>
      <w:r>
        <w:rPr>
          <w:spacing w:val="-15"/>
        </w:rPr>
        <w:t>工的力量，来提高公司的质量效益，例如开展合理化建议、提案改善、</w:t>
      </w:r>
      <w:r>
        <w:rPr>
          <w:spacing w:val="-2"/>
        </w:rPr>
        <w:t>6S</w:t>
      </w:r>
      <w:r>
        <w:rPr>
          <w:spacing w:val="-25"/>
        </w:rPr>
        <w:t> 管理等。截至 </w:t>
      </w:r>
      <w:r>
        <w:rPr>
          <w:spacing w:val="-4"/>
        </w:rPr>
        <w:t>2021</w:t>
      </w:r>
    </w:p>
    <w:p>
      <w:pPr>
        <w:pStyle w:val="BodyText"/>
        <w:spacing w:before="1"/>
      </w:pPr>
      <w:r>
        <w:rPr>
          <w:spacing w:val="-21"/>
          <w:w w:val="95"/>
        </w:rPr>
        <w:t>年 </w:t>
      </w:r>
      <w:r>
        <w:rPr>
          <w:w w:val="95"/>
        </w:rPr>
        <w:t>3</w:t>
      </w:r>
      <w:r>
        <w:rPr>
          <w:spacing w:val="-6"/>
          <w:w w:val="95"/>
        </w:rPr>
        <w:t> 月，公司已累计收到合理化建议上千条。</w:t>
      </w:r>
    </w:p>
    <w:p>
      <w:pPr>
        <w:pStyle w:val="BodyText"/>
        <w:spacing w:before="9"/>
        <w:ind w:left="0"/>
      </w:pPr>
    </w:p>
    <w:p>
      <w:pPr>
        <w:pStyle w:val="BodyText"/>
        <w:spacing w:before="0"/>
        <w:ind w:left="698"/>
      </w:pPr>
      <w:bookmarkStart w:name="（三）运作管理" w:id="16"/>
      <w:bookmarkEnd w:id="16"/>
      <w:r>
        <w:rPr/>
      </w:r>
      <w:r>
        <w:rPr/>
        <w:t>（三）运作管理</w:t>
      </w:r>
    </w:p>
    <w:p>
      <w:pPr>
        <w:pStyle w:val="ListParagraph"/>
        <w:numPr>
          <w:ilvl w:val="0"/>
          <w:numId w:val="3"/>
        </w:numPr>
        <w:tabs>
          <w:tab w:pos="1273" w:val="left" w:leader="none"/>
        </w:tabs>
        <w:spacing w:line="240" w:lineRule="auto" w:before="161" w:after="0"/>
        <w:ind w:left="1273" w:right="0" w:hanging="592"/>
        <w:jc w:val="left"/>
        <w:rPr>
          <w:sz w:val="24"/>
        </w:rPr>
      </w:pPr>
      <w:r>
        <w:rPr>
          <w:spacing w:val="-1"/>
          <w:sz w:val="24"/>
        </w:rPr>
        <w:t>产品设计诚信管理</w:t>
      </w:r>
    </w:p>
    <w:p>
      <w:pPr>
        <w:pStyle w:val="BodyText"/>
        <w:spacing w:line="364" w:lineRule="auto"/>
        <w:ind w:right="249" w:firstLine="463"/>
      </w:pPr>
      <w:r>
        <w:rPr>
          <w:spacing w:val="-10"/>
        </w:rPr>
        <w:t>公司技术研发中心依据</w:t>
      </w:r>
      <w:r>
        <w:rPr>
          <w:spacing w:val="-5"/>
        </w:rPr>
        <w:t>PDCA</w:t>
      </w:r>
      <w:r>
        <w:rPr>
          <w:spacing w:val="-14"/>
        </w:rPr>
        <w:t>模式展开技术研发活动，并通过相关措施缩短技术研发周期、</w:t>
      </w:r>
      <w:r>
        <w:rPr>
          <w:spacing w:val="-10"/>
        </w:rPr>
        <w:t>降低研发成本、提高研发达成率。从研发立项、过程各类活动记录、研发过程总结、管理考评控制研发相关的整个过程。尊重他人知识和参与践行保护知识产权是我司设计开发工作的</w:t>
      </w:r>
      <w:r>
        <w:rPr/>
        <w:t>重要内容之一。</w:t>
      </w:r>
    </w:p>
    <w:p>
      <w:pPr>
        <w:pStyle w:val="ListParagraph"/>
        <w:numPr>
          <w:ilvl w:val="0"/>
          <w:numId w:val="3"/>
        </w:numPr>
        <w:tabs>
          <w:tab w:pos="1273" w:val="left" w:leader="none"/>
        </w:tabs>
        <w:spacing w:line="240" w:lineRule="auto" w:before="3" w:after="0"/>
        <w:ind w:left="1273" w:right="0" w:hanging="592"/>
        <w:jc w:val="left"/>
        <w:rPr>
          <w:sz w:val="24"/>
        </w:rPr>
      </w:pPr>
      <w:r>
        <w:rPr>
          <w:spacing w:val="-4"/>
          <w:sz w:val="24"/>
        </w:rPr>
        <w:t>原材料或零部件采购诚信管理</w:t>
      </w:r>
    </w:p>
    <w:p>
      <w:pPr>
        <w:spacing w:after="0" w:line="240" w:lineRule="auto"/>
        <w:jc w:val="left"/>
        <w:rPr>
          <w:sz w:val="24"/>
        </w:rPr>
        <w:sectPr>
          <w:pgSz w:w="11910" w:h="16840"/>
          <w:pgMar w:top="1440" w:bottom="280" w:left="1200" w:right="760"/>
        </w:sectPr>
      </w:pPr>
    </w:p>
    <w:p>
      <w:pPr>
        <w:pStyle w:val="BodyText"/>
        <w:spacing w:line="364" w:lineRule="auto" w:before="40"/>
        <w:ind w:right="437" w:firstLine="463"/>
        <w:jc w:val="both"/>
      </w:pPr>
      <w:r>
        <w:rPr>
          <w:spacing w:val="-18"/>
        </w:rPr>
        <w:t>公司坚持“优质原料+严谨检验”，把好原料关。原材料的好坏是决定产品品质的首要因</w:t>
      </w:r>
      <w:r>
        <w:rPr>
          <w:spacing w:val="-10"/>
        </w:rPr>
        <w:t>素，万得福产品的原材料供应商为国际、国内知名的原料制造商，原材料进入公司后，须经过一系列严谨的科学检测，确保各项性能优越，优质纯正的专用原材料，从基因上奠定了万得福产品的卓越性能与环保品质。此外，公司与供应商签订质量协议，明确对产品性能、法律法规、环境保护等方面的具体要求。在入厂检验阶段，严格按照国家抽样标准进行抽样、检验与试验；对涉及律法规、环境保护、人身安全的，实行零容忍，一旦发现不合格，一律</w:t>
      </w:r>
      <w:r>
        <w:rPr/>
        <w:t>退货，并责令外协厂家进行整改，必要取消其供应商资格。</w:t>
      </w:r>
    </w:p>
    <w:p>
      <w:pPr>
        <w:pStyle w:val="ListParagraph"/>
        <w:numPr>
          <w:ilvl w:val="0"/>
          <w:numId w:val="3"/>
        </w:numPr>
        <w:tabs>
          <w:tab w:pos="1273" w:val="left" w:leader="none"/>
        </w:tabs>
        <w:spacing w:line="240" w:lineRule="auto" w:before="5" w:after="0"/>
        <w:ind w:left="1273" w:right="0" w:hanging="592"/>
        <w:jc w:val="left"/>
        <w:rPr>
          <w:sz w:val="24"/>
        </w:rPr>
      </w:pPr>
      <w:r>
        <w:rPr>
          <w:spacing w:val="-1"/>
          <w:sz w:val="24"/>
        </w:rPr>
        <w:t>生产过程诚信管理</w:t>
      </w:r>
    </w:p>
    <w:p>
      <w:pPr>
        <w:pStyle w:val="BodyText"/>
        <w:spacing w:line="364" w:lineRule="auto"/>
        <w:ind w:right="365" w:firstLine="463"/>
        <w:jc w:val="both"/>
      </w:pPr>
      <w:r>
        <w:rPr>
          <w:spacing w:val="-15"/>
        </w:rPr>
        <w:t>公司以“国际一流设备+精湛工艺”把好制造关。公司引进国际一流的加工设备，自动化</w:t>
      </w:r>
      <w:r>
        <w:rPr>
          <w:spacing w:val="-10"/>
        </w:rPr>
        <w:t>程度高，质量控制精准，确保产品的卓越品质，大力推行</w:t>
      </w:r>
      <w:r>
        <w:rPr>
          <w:spacing w:val="-4"/>
        </w:rPr>
        <w:t>6S</w:t>
      </w:r>
      <w:r>
        <w:rPr>
          <w:spacing w:val="-10"/>
        </w:rPr>
        <w:t>管理，精益求精的工匠精神锻造</w:t>
      </w:r>
      <w:r>
        <w:rPr/>
        <w:t>出高品质的日用品。</w:t>
      </w:r>
    </w:p>
    <w:p>
      <w:pPr>
        <w:pStyle w:val="BodyText"/>
        <w:spacing w:line="364" w:lineRule="auto" w:before="2"/>
        <w:ind w:right="437" w:firstLine="463"/>
        <w:jc w:val="both"/>
      </w:pPr>
      <w:r>
        <w:rPr>
          <w:spacing w:val="-10"/>
        </w:rPr>
        <w:t>公司生产部具体负责各品种生产管理和现场流程管理工作。制定并逐步完善了各种生产管理制度、工作标准、岗位操作规程和各类工艺规程、管理规程、标准操作规程。采用车间集中培训和班前、班后会对各岗位操作人员进行全面的岗位技能培训，并采用多种方式进行督查、考核，增强员工质量意识，提高操作水平，在生产过程中，各级管理人员严格履行管</w:t>
      </w:r>
      <w:r>
        <w:rPr/>
        <w:t>理职责，及时检查，及时纠正差错，保证生产秩序的稳定。</w:t>
      </w:r>
    </w:p>
    <w:p>
      <w:pPr>
        <w:pStyle w:val="BodyText"/>
        <w:spacing w:line="364" w:lineRule="auto" w:before="3"/>
        <w:ind w:right="363" w:firstLine="463"/>
        <w:jc w:val="both"/>
      </w:pPr>
      <w:r>
        <w:rPr>
          <w:spacing w:val="-10"/>
        </w:rPr>
        <w:t>对生产所需的原料、辅料、包装材料进行投料前复核，把好中间产品、成品的质量，严</w:t>
      </w:r>
      <w:r>
        <w:rPr>
          <w:spacing w:val="-19"/>
        </w:rPr>
        <w:t>格执行“不生产不合格品，不接收不合格品，不流转不合格品”的“三不原则”，关键工序设</w:t>
      </w:r>
      <w:r>
        <w:rPr>
          <w:spacing w:val="-10"/>
        </w:rPr>
        <w:t>质量控制点，督促员工做好自检、互检，执行监控核查规程，严格记录的管理，做到领用、发放和核对相统一。对每一生产步骤进行物料平衡，保证物料的投入和产品的产出数量与工</w:t>
      </w:r>
      <w:r>
        <w:rPr/>
        <w:t>艺要求相一致，确认无潜在质量隐患，符合账、物、卡一致的要求。</w:t>
      </w:r>
    </w:p>
    <w:p>
      <w:pPr>
        <w:pStyle w:val="BodyText"/>
        <w:spacing w:line="364" w:lineRule="auto" w:before="3"/>
        <w:ind w:right="437" w:firstLine="463"/>
        <w:jc w:val="both"/>
      </w:pPr>
      <w:r>
        <w:rPr>
          <w:spacing w:val="-10"/>
        </w:rPr>
        <w:t>生产记录由生产部负责审核、印制和保管。员工操作必须按要求及时填写生产记录，做到字迹清晰、内容真实、数据完整，操作人及复核人签名确认。生产结束后，组长把记录汇</w:t>
      </w:r>
      <w:r>
        <w:rPr/>
        <w:t>总、复核，及时上交生产部，经审核无误后，按批号整理归档，由专人管理。</w:t>
      </w:r>
    </w:p>
    <w:p>
      <w:pPr>
        <w:pStyle w:val="BodyText"/>
        <w:spacing w:line="364" w:lineRule="auto" w:before="2"/>
        <w:ind w:right="249" w:firstLine="463"/>
      </w:pPr>
      <w:r>
        <w:rPr>
          <w:spacing w:val="-10"/>
        </w:rPr>
        <w:t>公司根据行业特点及实际情况，加强生产过程的信息化建设水平，在应用</w:t>
      </w:r>
      <w:r>
        <w:rPr>
          <w:spacing w:val="-5"/>
        </w:rPr>
        <w:t>ERP</w:t>
      </w:r>
      <w:r>
        <w:rPr>
          <w:spacing w:val="-8"/>
        </w:rPr>
        <w:t>和</w:t>
      </w:r>
      <w:r>
        <w:rPr>
          <w:spacing w:val="-5"/>
        </w:rPr>
        <w:t>MES</w:t>
      </w:r>
      <w:r>
        <w:rPr>
          <w:spacing w:val="-4"/>
        </w:rPr>
        <w:t>系统</w:t>
      </w:r>
      <w:r>
        <w:rPr>
          <w:spacing w:val="-10"/>
        </w:rPr>
        <w:t>对整个过程进行数据采集和监控，对公司整个生产过程实行系统化管理。同时，挖掘内部潜力，发挥技术骨干人员的力量，开展对现有设备进行持续性改造或科技创新工作，成立技术攻关小组，对薄弱环节进行技术攻关，完成了多项技术攻关工作和防错设计及自动化设计制</w:t>
      </w:r>
      <w:r>
        <w:rPr>
          <w:spacing w:val="-27"/>
        </w:rPr>
        <w:t>作；生产员工上岗前要经过培训及考核，建立全员培训档案，通过集中培训、班前会培训</w:t>
      </w:r>
      <w:r>
        <w:rPr>
          <w:spacing w:val="-55"/>
        </w:rPr>
        <w:t>、“传、</w:t>
      </w:r>
      <w:r>
        <w:rPr>
          <w:spacing w:val="-21"/>
        </w:rPr>
        <w:t>帮、带”、目视化等多种方式进行培训，强化其工作技能和质量意识。生产员工严格遵守车间</w:t>
      </w:r>
    </w:p>
    <w:p>
      <w:pPr>
        <w:spacing w:after="0" w:line="364" w:lineRule="auto"/>
        <w:sectPr>
          <w:pgSz w:w="11910" w:h="16840"/>
          <w:pgMar w:top="1440" w:bottom="280" w:left="1200" w:right="760"/>
        </w:sectPr>
      </w:pPr>
    </w:p>
    <w:p>
      <w:pPr>
        <w:pStyle w:val="BodyText"/>
        <w:spacing w:before="40"/>
      </w:pPr>
      <w:r>
        <w:rPr/>
        <w:t>纪律。</w:t>
      </w:r>
    </w:p>
    <w:p>
      <w:pPr>
        <w:pStyle w:val="BodyText"/>
        <w:spacing w:before="9"/>
        <w:ind w:left="0"/>
      </w:pPr>
    </w:p>
    <w:p>
      <w:pPr>
        <w:pStyle w:val="BodyText"/>
        <w:spacing w:before="0"/>
        <w:ind w:left="698"/>
      </w:pPr>
      <w:bookmarkStart w:name="（四）营销管理" w:id="17"/>
      <w:bookmarkEnd w:id="17"/>
      <w:r>
        <w:rPr/>
      </w:r>
      <w:r>
        <w:rPr/>
        <w:t>（四）营销管理</w:t>
      </w:r>
    </w:p>
    <w:p>
      <w:pPr>
        <w:pStyle w:val="BodyText"/>
        <w:spacing w:line="364" w:lineRule="auto" w:before="161"/>
        <w:ind w:right="249" w:firstLine="463"/>
      </w:pPr>
      <w:r>
        <w:rPr>
          <w:spacing w:val="-10"/>
        </w:rPr>
        <w:t>公司根据战略要求，对市场进行细分，以提高资源和运作的有效性针对性。公司将顾客分为不同类型。针对不同类型顾客确定顾客的需求与期望，针对其需求与期望来确定适当的</w:t>
      </w:r>
      <w:r>
        <w:rPr>
          <w:spacing w:val="-15"/>
        </w:rPr>
        <w:t>方法，建立相应的体系与团队，建立各种渠道和方法，针对性的进行顾客需求与期望的了解。</w:t>
      </w:r>
    </w:p>
    <w:p>
      <w:pPr>
        <w:pStyle w:val="BodyText"/>
        <w:spacing w:line="364" w:lineRule="auto" w:before="2"/>
        <w:ind w:right="437" w:firstLine="463"/>
      </w:pPr>
      <w:r>
        <w:rPr>
          <w:spacing w:val="-10"/>
        </w:rPr>
        <w:t>公司通过展览会、行业会议、行业标委会、公共媒体、互联网、外部机构等渠道，以问</w:t>
      </w:r>
      <w:r>
        <w:rPr/>
        <w:t>卷调查、面对面或电话访谈、观察查询、外部委托等方法，了解客户的需求和期望。</w:t>
      </w:r>
    </w:p>
    <w:p>
      <w:pPr>
        <w:pStyle w:val="BodyText"/>
        <w:spacing w:line="364" w:lineRule="auto" w:before="1"/>
        <w:ind w:right="437" w:firstLine="463"/>
        <w:jc w:val="both"/>
      </w:pPr>
      <w:r>
        <w:rPr>
          <w:spacing w:val="-10"/>
        </w:rPr>
        <w:t>公司各部门定期搜集顾客信息，解析后确定的顾客需求信息按照不同细分市场进行分类梳理总结，形成不同顾客群的需求与期望数据库，并从中归纳出针对不同细分市场顾客群总</w:t>
      </w:r>
      <w:r>
        <w:rPr/>
        <w:t>体需求特点的汇总资料，供产品规划、产品开发设计、过程控制等决策时参考。</w:t>
      </w:r>
    </w:p>
    <w:p>
      <w:pPr>
        <w:pStyle w:val="BodyText"/>
        <w:spacing w:line="364" w:lineRule="auto" w:before="2"/>
        <w:ind w:right="365" w:firstLine="463"/>
        <w:jc w:val="both"/>
      </w:pPr>
      <w:r>
        <w:rPr>
          <w:spacing w:val="-10"/>
        </w:rPr>
        <w:t>公司树立“以客户需求为导向”的服务理念，要求业务人员对于任何一位客户，不论他下单与否，都要做到热情、周到，都要尽量满足他们的所有合理需求。制订了《顾客满意度</w:t>
      </w:r>
      <w:r>
        <w:rPr>
          <w:spacing w:val="-21"/>
        </w:rPr>
        <w:t>测量控制程序》《合同评审程序》等相关流程，从各方面增加业务人员的技能和素质，提升了</w:t>
      </w:r>
      <w:r>
        <w:rPr/>
        <w:t>顾客成交率。</w:t>
      </w:r>
    </w:p>
    <w:p>
      <w:pPr>
        <w:pStyle w:val="BodyText"/>
        <w:spacing w:before="2"/>
        <w:ind w:left="681"/>
      </w:pPr>
      <w:r>
        <w:rPr>
          <w:spacing w:val="-10"/>
        </w:rPr>
        <w:t>公司建立顾客走访制度，及时了解顾客需求和满意情况，以提升顾客满意度。</w:t>
      </w:r>
    </w:p>
    <w:p>
      <w:pPr>
        <w:pStyle w:val="BodyText"/>
        <w:spacing w:line="364" w:lineRule="auto"/>
        <w:ind w:right="437" w:firstLine="463"/>
        <w:jc w:val="both"/>
      </w:pPr>
      <w:r>
        <w:rPr>
          <w:spacing w:val="-10"/>
        </w:rPr>
        <w:t>公司建立及时反馈处理用户投诉意见的快速反应机制解决问题的规定。对顾客的投诉意</w:t>
      </w:r>
      <w:r>
        <w:rPr>
          <w:spacing w:val="-8"/>
        </w:rPr>
        <w:t>见，2</w:t>
      </w:r>
      <w:r>
        <w:rPr>
          <w:spacing w:val="-10"/>
        </w:rPr>
        <w:t>小时内做出响应和回馈；</w:t>
      </w:r>
      <w:r>
        <w:rPr>
          <w:spacing w:val="-7"/>
        </w:rPr>
        <w:t>2</w:t>
      </w:r>
      <w:r>
        <w:rPr>
          <w:spacing w:val="-10"/>
        </w:rPr>
        <w:t>个工作日内制定并实施临时措施；</w:t>
      </w:r>
      <w:r>
        <w:rPr>
          <w:spacing w:val="-6"/>
        </w:rPr>
        <w:t>14</w:t>
      </w:r>
      <w:r>
        <w:rPr>
          <w:spacing w:val="-9"/>
        </w:rPr>
        <w:t>个工作日内完成永久措</w:t>
      </w:r>
      <w:r>
        <w:rPr/>
        <w:t>施并实施。</w:t>
      </w:r>
    </w:p>
    <w:p>
      <w:pPr>
        <w:pStyle w:val="Heading2"/>
        <w:spacing w:before="210"/>
      </w:pPr>
      <w:bookmarkStart w:name="四、企业质量基础" w:id="18"/>
      <w:bookmarkEnd w:id="18"/>
      <w:r>
        <w:rPr/>
      </w:r>
      <w:r>
        <w:rPr/>
        <w:t>四、企业质量基础</w:t>
      </w:r>
    </w:p>
    <w:p>
      <w:pPr>
        <w:pStyle w:val="BodyText"/>
        <w:spacing w:before="214"/>
        <w:ind w:left="698"/>
      </w:pPr>
      <w:bookmarkStart w:name="（一）标准管理情况" w:id="19"/>
      <w:bookmarkEnd w:id="19"/>
      <w:r>
        <w:rPr/>
      </w:r>
      <w:r>
        <w:rPr/>
        <w:t>（一）标准管理情况</w:t>
      </w:r>
    </w:p>
    <w:p>
      <w:pPr>
        <w:pStyle w:val="BodyText"/>
        <w:spacing w:line="364" w:lineRule="auto"/>
        <w:ind w:right="249" w:firstLine="463"/>
      </w:pPr>
      <w:r>
        <w:rPr>
          <w:spacing w:val="-10"/>
        </w:rPr>
        <w:t>标准是提高产品品质和节能降耗的一个重要因素，公司积极引用国际标准及国外先进标准。在原材料采购、产品制造和加工、半成品和成品检验等各个产品生产环节制定较为严格</w:t>
      </w:r>
      <w:r>
        <w:rPr>
          <w:spacing w:val="-15"/>
        </w:rPr>
        <w:t>的内控指标，并引用或制定相关标准为生产提供支撑，对整个生产环境加以标准化规范管理。</w:t>
      </w:r>
      <w:r>
        <w:rPr/>
        <w:t>为保证产品质量、提高企业的管理水平提供良好的保障。</w:t>
      </w:r>
    </w:p>
    <w:p>
      <w:pPr>
        <w:pStyle w:val="BodyText"/>
        <w:spacing w:line="364" w:lineRule="auto" w:before="2"/>
        <w:ind w:right="363" w:firstLine="463"/>
      </w:pPr>
      <w:r>
        <w:rPr>
          <w:spacing w:val="-14"/>
        </w:rPr>
        <w:t>万得福严格执行国家和行业技术标准外，在此基础上，万得福积极对标“国内一流 国际</w:t>
      </w:r>
      <w:r>
        <w:rPr>
          <w:spacing w:val="-10"/>
        </w:rPr>
        <w:t>先进”的浙江制造团体标准</w:t>
      </w:r>
      <w:r>
        <w:rPr>
          <w:spacing w:val="-3"/>
        </w:rPr>
        <w:t>T/ZZB</w:t>
      </w:r>
      <w:r>
        <w:rPr>
          <w:spacing w:val="-8"/>
        </w:rPr>
        <w:t> </w:t>
      </w:r>
      <w:r>
        <w:rPr>
          <w:spacing w:val="-6"/>
        </w:rPr>
        <w:t>2041—2021</w:t>
      </w:r>
      <w:r>
        <w:rPr>
          <w:spacing w:val="-10"/>
        </w:rPr>
        <w:t>《一次性民用口罩》开展“浙江制造”认证。</w:t>
      </w:r>
    </w:p>
    <w:p>
      <w:pPr>
        <w:pStyle w:val="BodyText"/>
        <w:spacing w:before="2"/>
        <w:ind w:left="698"/>
      </w:pPr>
      <w:bookmarkStart w:name="（二）计量管理情况" w:id="20"/>
      <w:bookmarkEnd w:id="20"/>
      <w:r>
        <w:rPr/>
      </w:r>
      <w:r>
        <w:rPr/>
        <w:t>（二）计量管理情况</w:t>
      </w:r>
    </w:p>
    <w:p>
      <w:pPr>
        <w:pStyle w:val="BodyText"/>
        <w:spacing w:line="364" w:lineRule="auto"/>
        <w:ind w:right="437" w:firstLine="463"/>
      </w:pPr>
      <w:r>
        <w:rPr>
          <w:spacing w:val="-10"/>
        </w:rPr>
        <w:t>公司严格执行《中华人民共和国计量法》等文件法规，从原材料采购、过程管理、生产设备、检验设备、工序检验、成品检验等环节建立了一整套管理文件和控制方法。设有专兼</w:t>
      </w:r>
    </w:p>
    <w:p>
      <w:pPr>
        <w:spacing w:after="0" w:line="364" w:lineRule="auto"/>
        <w:sectPr>
          <w:pgSz w:w="11910" w:h="16840"/>
          <w:pgMar w:top="1440" w:bottom="280" w:left="1200" w:right="760"/>
        </w:sectPr>
      </w:pPr>
    </w:p>
    <w:p>
      <w:pPr>
        <w:pStyle w:val="BodyText"/>
        <w:spacing w:line="364" w:lineRule="auto" w:before="40"/>
        <w:ind w:right="437"/>
      </w:pPr>
      <w:r>
        <w:rPr>
          <w:spacing w:val="-10"/>
        </w:rPr>
        <w:t>职计量人员负责公司的在用计量设备管理、配备和定期校检工作，注重对计量管理人员的专</w:t>
      </w:r>
      <w:r>
        <w:rPr/>
        <w:t>业培训，为公司的计量管理的规范化提供了有力的保障。</w:t>
      </w:r>
    </w:p>
    <w:p>
      <w:pPr>
        <w:pStyle w:val="BodyText"/>
        <w:spacing w:line="364" w:lineRule="auto" w:before="2"/>
        <w:ind w:right="437" w:firstLine="463"/>
      </w:pPr>
      <w:r>
        <w:rPr>
          <w:spacing w:val="-10"/>
        </w:rPr>
        <w:t>为确保产品质量，在产品生产工艺中严格过程控制，对生产工艺过程中的原辅材料等加</w:t>
      </w:r>
      <w:r>
        <w:rPr/>
        <w:t>强计量管理，确保计量设备的正常运行和计量的准确性。</w:t>
      </w:r>
    </w:p>
    <w:p>
      <w:pPr>
        <w:pStyle w:val="BodyText"/>
        <w:spacing w:line="364" w:lineRule="auto" w:before="1"/>
        <w:ind w:right="437" w:firstLine="463"/>
        <w:jc w:val="both"/>
      </w:pPr>
      <w:r>
        <w:rPr>
          <w:spacing w:val="-10"/>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w:t>
      </w:r>
      <w:r>
        <w:rPr/>
        <w:t>定了坚实的计量基础。</w:t>
      </w:r>
    </w:p>
    <w:p>
      <w:pPr>
        <w:pStyle w:val="BodyText"/>
        <w:spacing w:line="364" w:lineRule="auto" w:before="3"/>
        <w:ind w:right="437" w:firstLine="463"/>
      </w:pPr>
      <w:r>
        <w:rPr>
          <w:spacing w:val="-10"/>
        </w:rPr>
        <w:t>在设计和开发阶段，就对关键特性实施测量系统分析，确保了测量结果的有效性。每种</w:t>
      </w:r>
      <w:r>
        <w:rPr/>
        <w:t>新的测量系统，都是在系统分析并满足要求后，方可投入使用。</w:t>
      </w:r>
    </w:p>
    <w:p>
      <w:pPr>
        <w:pStyle w:val="BodyText"/>
        <w:spacing w:before="1"/>
        <w:ind w:left="698"/>
      </w:pPr>
      <w:bookmarkStart w:name="（三）认证管理情况" w:id="21"/>
      <w:bookmarkEnd w:id="21"/>
      <w:r>
        <w:rPr/>
      </w:r>
      <w:r>
        <w:rPr/>
        <w:t>（三）认证管理情况</w:t>
      </w:r>
    </w:p>
    <w:p>
      <w:pPr>
        <w:pStyle w:val="BodyText"/>
        <w:spacing w:line="364" w:lineRule="auto"/>
        <w:ind w:right="363" w:firstLine="463"/>
        <w:jc w:val="both"/>
      </w:pPr>
      <w:r>
        <w:rPr>
          <w:spacing w:val="-6"/>
        </w:rPr>
        <w:t>公司先后通过了先后通过了权威的</w:t>
      </w:r>
      <w:r>
        <w:rPr>
          <w:spacing w:val="-2"/>
        </w:rPr>
        <w:t>SGS</w:t>
      </w:r>
      <w:r>
        <w:rPr>
          <w:spacing w:val="-25"/>
        </w:rPr>
        <w:t> 认证、</w:t>
      </w:r>
      <w:r>
        <w:rPr>
          <w:spacing w:val="-3"/>
        </w:rPr>
        <w:t>CCIC</w:t>
      </w:r>
      <w:r>
        <w:rPr>
          <w:spacing w:val="-12"/>
        </w:rPr>
        <w:t> 食品检测认证、美国</w:t>
      </w:r>
      <w:r>
        <w:rPr>
          <w:spacing w:val="-2"/>
        </w:rPr>
        <w:t>FDA</w:t>
      </w:r>
      <w:r>
        <w:rPr>
          <w:spacing w:val="-19"/>
        </w:rPr>
        <w:t> 认证、德国</w:t>
      </w:r>
      <w:r>
        <w:rPr>
          <w:spacing w:val="-3"/>
        </w:rPr>
        <w:t>LF</w:t>
      </w:r>
      <w:r>
        <w:rPr>
          <w:spacing w:val="-5"/>
        </w:rPr>
        <w:t>G</w:t>
      </w:r>
      <w:r>
        <w:rPr/>
        <w:t>B</w:t>
      </w:r>
      <w:r>
        <w:rPr>
          <w:spacing w:val="-20"/>
        </w:rPr>
        <w:t> 食品安全认证；公司通过英国</w:t>
      </w:r>
      <w:r>
        <w:rPr>
          <w:spacing w:val="-8"/>
        </w:rPr>
        <w:t>（</w:t>
      </w:r>
      <w:r>
        <w:rPr>
          <w:spacing w:val="-3"/>
        </w:rPr>
        <w:t>BR</w:t>
      </w:r>
      <w:r>
        <w:rPr>
          <w:spacing w:val="-8"/>
        </w:rPr>
        <w:t>C</w:t>
      </w:r>
      <w:r>
        <w:rPr>
          <w:spacing w:val="-125"/>
        </w:rPr>
        <w:t>）</w:t>
      </w:r>
      <w:r>
        <w:rPr>
          <w:spacing w:val="-17"/>
        </w:rPr>
        <w:t>、欧洲</w:t>
      </w:r>
      <w:r>
        <w:rPr>
          <w:spacing w:val="-3"/>
        </w:rPr>
        <w:t>(B</w:t>
      </w:r>
      <w:r>
        <w:rPr>
          <w:spacing w:val="-5"/>
        </w:rPr>
        <w:t>S</w:t>
      </w:r>
      <w:r>
        <w:rPr>
          <w:spacing w:val="-3"/>
        </w:rPr>
        <w:t>C</w:t>
      </w:r>
      <w:r>
        <w:rPr>
          <w:spacing w:val="-5"/>
        </w:rPr>
        <w:t>I</w:t>
      </w:r>
      <w:r>
        <w:rPr>
          <w:spacing w:val="-16"/>
        </w:rPr>
        <w:t>)、英国</w:t>
      </w:r>
      <w:r>
        <w:rPr>
          <w:spacing w:val="-3"/>
        </w:rPr>
        <w:t>(S</w:t>
      </w:r>
      <w:r>
        <w:rPr>
          <w:spacing w:val="-5"/>
        </w:rPr>
        <w:t>E</w:t>
      </w:r>
      <w:r>
        <w:rPr>
          <w:spacing w:val="-3"/>
        </w:rPr>
        <w:t>D</w:t>
      </w:r>
      <w:r>
        <w:rPr>
          <w:spacing w:val="-5"/>
        </w:rPr>
        <w:t>EX)</w:t>
      </w:r>
      <w:r>
        <w:rPr>
          <w:spacing w:val="-9"/>
        </w:rPr>
        <w:t>的认证等国际产品认证</w:t>
      </w:r>
      <w:r>
        <w:rPr>
          <w:spacing w:val="50"/>
        </w:rPr>
        <w:t>和</w:t>
      </w:r>
      <w:r>
        <w:rPr>
          <w:spacing w:val="-2"/>
        </w:rPr>
        <w:t>ISO</w:t>
      </w:r>
      <w:r>
        <w:rPr>
          <w:spacing w:val="-8"/>
        </w:rPr>
        <w:t> </w:t>
      </w:r>
      <w:r>
        <w:rPr>
          <w:spacing w:val="-3"/>
        </w:rPr>
        <w:t>9001</w:t>
      </w:r>
      <w:r>
        <w:rPr>
          <w:spacing w:val="-16"/>
        </w:rPr>
        <w:t> 质量体系认证、</w:t>
      </w:r>
      <w:r>
        <w:rPr>
          <w:spacing w:val="-2"/>
        </w:rPr>
        <w:t>ISO</w:t>
      </w:r>
      <w:r>
        <w:rPr>
          <w:spacing w:val="-9"/>
        </w:rPr>
        <w:t> </w:t>
      </w:r>
      <w:r>
        <w:rPr>
          <w:spacing w:val="-3"/>
        </w:rPr>
        <w:t>14001</w:t>
      </w:r>
      <w:r>
        <w:rPr>
          <w:spacing w:val="-15"/>
        </w:rPr>
        <w:t> 环境管理体系认证、</w:t>
      </w:r>
      <w:r>
        <w:rPr>
          <w:spacing w:val="-2"/>
        </w:rPr>
        <w:t>ISO</w:t>
      </w:r>
      <w:r>
        <w:rPr>
          <w:spacing w:val="-9"/>
        </w:rPr>
        <w:t> </w:t>
      </w:r>
      <w:r>
        <w:rPr>
          <w:spacing w:val="-3"/>
        </w:rPr>
        <w:t>45001</w:t>
      </w:r>
      <w:r>
        <w:rPr>
          <w:spacing w:val="-15"/>
        </w:rPr>
        <w:t> 职业健康安全管理体</w:t>
      </w:r>
      <w:r>
        <w:rPr>
          <w:spacing w:val="-8"/>
        </w:rPr>
        <w:t>系认证。同时，公司一直致力于管理进步和管理创新，通过技术进步和管理创新，持续改进</w:t>
      </w:r>
      <w:r>
        <w:rPr/>
        <w:t>产品质量，不断满足顾客日益增长的需求。</w:t>
      </w:r>
    </w:p>
    <w:p>
      <w:pPr>
        <w:pStyle w:val="BodyText"/>
        <w:spacing w:before="3"/>
        <w:ind w:left="698"/>
      </w:pPr>
      <w:bookmarkStart w:name="（四）检验设备管理情况" w:id="22"/>
      <w:bookmarkEnd w:id="22"/>
      <w:r>
        <w:rPr/>
      </w:r>
      <w:r>
        <w:rPr/>
        <w:t>（四）检验设备管理情况</w:t>
      </w:r>
    </w:p>
    <w:p>
      <w:pPr>
        <w:pStyle w:val="BodyText"/>
        <w:spacing w:line="364" w:lineRule="auto" w:before="161"/>
        <w:ind w:right="363" w:firstLine="463"/>
        <w:jc w:val="both"/>
      </w:pPr>
      <w:r>
        <w:rPr>
          <w:spacing w:val="-8"/>
        </w:rPr>
        <w:t>公司通过对进货的检验，以保证采购部、生产部提供的原辅材料符合规定的要求。品质部负责编制进货检验规程，负责原辅材料进货的检验；采购部、生产部负责不合格原辅材料</w:t>
      </w:r>
      <w:r>
        <w:rPr/>
        <w:t>的处理；仓库负责点收原辅材料的进货数量、名称等。</w:t>
      </w:r>
    </w:p>
    <w:p>
      <w:pPr>
        <w:pStyle w:val="BodyText"/>
        <w:spacing w:line="364" w:lineRule="auto" w:before="0"/>
        <w:ind w:right="363" w:firstLine="463"/>
        <w:jc w:val="both"/>
      </w:pPr>
      <w:r>
        <w:rPr>
          <w:spacing w:val="-8"/>
        </w:rPr>
        <w:t>为保证所有产品在生产过程中都通过规定的检验后才能进入下一道工序，公司制定《产</w:t>
      </w:r>
      <w:r>
        <w:rPr>
          <w:spacing w:val="-21"/>
        </w:rPr>
        <w:t>品、过程监视和测量控制程序》《不合格品控制程序》开展严格的过程检验。品质部负责制订</w:t>
      </w:r>
      <w:r>
        <w:rPr>
          <w:spacing w:val="-8"/>
        </w:rPr>
        <w:t>过程及最终检验和试验规程，设立最终检验的检验点，并负责组织过程检验工作；品质部负责检验点的检查、半成品、成品的检验；各生产操作工负责自检、互检工作。公司配备了先</w:t>
      </w:r>
      <w:r>
        <w:rPr/>
        <w:t>进的检测设备，见下表。</w:t>
      </w:r>
    </w:p>
    <w:p>
      <w:pPr>
        <w:spacing w:line="215" w:lineRule="exact" w:before="0" w:after="40"/>
        <w:ind w:left="2091" w:right="2247" w:firstLine="0"/>
        <w:jc w:val="center"/>
        <w:rPr>
          <w:sz w:val="21"/>
        </w:rPr>
      </w:pPr>
      <w:r>
        <w:rPr>
          <w:spacing w:val="-2"/>
          <w:sz w:val="21"/>
        </w:rPr>
        <w:t>表 </w:t>
      </w:r>
      <w:r>
        <w:rPr>
          <w:sz w:val="21"/>
        </w:rPr>
        <w:t>1</w:t>
      </w:r>
      <w:r>
        <w:rPr>
          <w:spacing w:val="-1"/>
          <w:sz w:val="21"/>
        </w:rPr>
        <w:t> 主要检测设备清单</w:t>
      </w:r>
    </w:p>
    <w:tbl>
      <w:tblPr>
        <w:tblW w:w="0" w:type="auto"/>
        <w:jc w:val="left"/>
        <w:tblInd w:w="135" w:type="dxa"/>
        <w:tblBorders>
          <w:top w:val="triple" w:sz="4" w:space="0" w:color="800000"/>
          <w:left w:val="triple" w:sz="4" w:space="0" w:color="800000"/>
          <w:bottom w:val="triple" w:sz="4" w:space="0" w:color="800000"/>
          <w:right w:val="triple" w:sz="4" w:space="0" w:color="800000"/>
          <w:insideH w:val="triple" w:sz="4" w:space="0" w:color="800000"/>
          <w:insideV w:val="triple" w:sz="4" w:space="0" w:color="800000"/>
        </w:tblBorders>
        <w:tblLayout w:type="fixed"/>
        <w:tblCellMar>
          <w:top w:w="0" w:type="dxa"/>
          <w:left w:w="0" w:type="dxa"/>
          <w:bottom w:w="0" w:type="dxa"/>
          <w:right w:w="0" w:type="dxa"/>
        </w:tblCellMar>
        <w:tblLook w:val="01E0"/>
      </w:tblPr>
      <w:tblGrid>
        <w:gridCol w:w="816"/>
        <w:gridCol w:w="3686"/>
        <w:gridCol w:w="1700"/>
        <w:gridCol w:w="3358"/>
      </w:tblGrid>
      <w:tr>
        <w:trPr>
          <w:trHeight w:val="454" w:hRule="atLeast"/>
        </w:trPr>
        <w:tc>
          <w:tcPr>
            <w:tcW w:w="816" w:type="dxa"/>
            <w:tcBorders>
              <w:bottom w:val="single" w:sz="4" w:space="0" w:color="800000"/>
              <w:right w:val="single" w:sz="4" w:space="0" w:color="800000"/>
            </w:tcBorders>
          </w:tcPr>
          <w:p>
            <w:pPr>
              <w:pStyle w:val="TableParagraph"/>
              <w:ind w:left="158" w:right="167"/>
              <w:rPr>
                <w:sz w:val="21"/>
              </w:rPr>
            </w:pPr>
            <w:r>
              <w:rPr>
                <w:sz w:val="21"/>
              </w:rPr>
              <w:t>序号</w:t>
            </w:r>
          </w:p>
        </w:tc>
        <w:tc>
          <w:tcPr>
            <w:tcW w:w="3686" w:type="dxa"/>
            <w:tcBorders>
              <w:left w:val="single" w:sz="4" w:space="0" w:color="800000"/>
              <w:bottom w:val="single" w:sz="4" w:space="0" w:color="800000"/>
              <w:right w:val="single" w:sz="4" w:space="0" w:color="800000"/>
            </w:tcBorders>
          </w:tcPr>
          <w:p>
            <w:pPr>
              <w:pStyle w:val="TableParagraph"/>
              <w:ind w:left="351" w:right="338"/>
              <w:rPr>
                <w:sz w:val="21"/>
              </w:rPr>
            </w:pPr>
            <w:r>
              <w:rPr>
                <w:w w:val="95"/>
                <w:sz w:val="21"/>
              </w:rPr>
              <w:t>设备名称</w:t>
            </w:r>
          </w:p>
        </w:tc>
        <w:tc>
          <w:tcPr>
            <w:tcW w:w="1700" w:type="dxa"/>
            <w:tcBorders>
              <w:left w:val="single" w:sz="4" w:space="0" w:color="800000"/>
              <w:bottom w:val="single" w:sz="4" w:space="0" w:color="800000"/>
              <w:right w:val="single" w:sz="4" w:space="0" w:color="800000"/>
            </w:tcBorders>
          </w:tcPr>
          <w:p>
            <w:pPr>
              <w:pStyle w:val="TableParagraph"/>
              <w:ind w:left="410" w:right="398"/>
              <w:rPr>
                <w:sz w:val="21"/>
              </w:rPr>
            </w:pPr>
            <w:r>
              <w:rPr>
                <w:w w:val="95"/>
                <w:sz w:val="21"/>
              </w:rPr>
              <w:t>规格型号</w:t>
            </w:r>
          </w:p>
        </w:tc>
        <w:tc>
          <w:tcPr>
            <w:tcW w:w="3358" w:type="dxa"/>
            <w:tcBorders>
              <w:left w:val="single" w:sz="4" w:space="0" w:color="800000"/>
              <w:bottom w:val="single" w:sz="4" w:space="0" w:color="800000"/>
            </w:tcBorders>
          </w:tcPr>
          <w:p>
            <w:pPr>
              <w:pStyle w:val="TableParagraph"/>
              <w:ind w:left="403" w:right="360"/>
              <w:rPr>
                <w:sz w:val="21"/>
              </w:rPr>
            </w:pPr>
            <w:r>
              <w:rPr>
                <w:w w:val="95"/>
                <w:sz w:val="21"/>
              </w:rPr>
              <w:t>生产厂家</w:t>
            </w:r>
          </w:p>
        </w:tc>
      </w:tr>
      <w:tr>
        <w:trPr>
          <w:trHeight w:val="453" w:hRule="atLeast"/>
        </w:trPr>
        <w:tc>
          <w:tcPr>
            <w:tcW w:w="816" w:type="dxa"/>
            <w:tcBorders>
              <w:top w:val="single" w:sz="4" w:space="0" w:color="800000"/>
              <w:bottom w:val="single" w:sz="4" w:space="0" w:color="800000"/>
              <w:right w:val="single" w:sz="4" w:space="0" w:color="800000"/>
            </w:tcBorders>
          </w:tcPr>
          <w:p>
            <w:pPr>
              <w:pStyle w:val="TableParagraph"/>
              <w:spacing w:before="91"/>
              <w:ind w:right="8"/>
              <w:rPr>
                <w:sz w:val="21"/>
              </w:rPr>
            </w:pPr>
            <w:r>
              <w:rPr>
                <w:w w:val="99"/>
                <w:sz w:val="21"/>
              </w:rPr>
              <w:t>1</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spacing w:before="91"/>
              <w:ind w:left="351" w:right="343"/>
              <w:rPr>
                <w:sz w:val="21"/>
              </w:rPr>
            </w:pPr>
            <w:r>
              <w:rPr>
                <w:sz w:val="21"/>
              </w:rPr>
              <w:t>净化工作台</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spacing w:before="91"/>
              <w:ind w:left="410" w:right="399"/>
              <w:rPr>
                <w:sz w:val="21"/>
              </w:rPr>
            </w:pPr>
            <w:r>
              <w:rPr>
                <w:sz w:val="21"/>
              </w:rPr>
              <w:t>HL-DR-01</w:t>
            </w:r>
          </w:p>
        </w:tc>
        <w:tc>
          <w:tcPr>
            <w:tcW w:w="3358" w:type="dxa"/>
            <w:tcBorders>
              <w:top w:val="single" w:sz="4" w:space="0" w:color="800000"/>
              <w:left w:val="single" w:sz="4" w:space="0" w:color="800000"/>
              <w:bottom w:val="single" w:sz="4" w:space="0" w:color="800000"/>
            </w:tcBorders>
          </w:tcPr>
          <w:p>
            <w:pPr>
              <w:pStyle w:val="TableParagraph"/>
              <w:spacing w:before="91"/>
              <w:ind w:left="401" w:right="365"/>
              <w:rPr>
                <w:sz w:val="21"/>
              </w:rPr>
            </w:pPr>
            <w:r>
              <w:rPr>
                <w:sz w:val="21"/>
              </w:rPr>
              <w:t>苏州市昊莱净化设备厂</w:t>
            </w:r>
          </w:p>
        </w:tc>
      </w:tr>
      <w:tr>
        <w:trPr>
          <w:trHeight w:val="451" w:hRule="atLeast"/>
        </w:trPr>
        <w:tc>
          <w:tcPr>
            <w:tcW w:w="816" w:type="dxa"/>
            <w:tcBorders>
              <w:top w:val="single" w:sz="4" w:space="0" w:color="800000"/>
              <w:right w:val="single" w:sz="4" w:space="0" w:color="800000"/>
            </w:tcBorders>
          </w:tcPr>
          <w:p>
            <w:pPr>
              <w:pStyle w:val="TableParagraph"/>
              <w:ind w:right="8"/>
              <w:rPr>
                <w:sz w:val="21"/>
              </w:rPr>
            </w:pPr>
            <w:r>
              <w:rPr>
                <w:w w:val="99"/>
                <w:sz w:val="21"/>
              </w:rPr>
              <w:t>2</w:t>
            </w:r>
          </w:p>
        </w:tc>
        <w:tc>
          <w:tcPr>
            <w:tcW w:w="3686" w:type="dxa"/>
            <w:tcBorders>
              <w:top w:val="single" w:sz="4" w:space="0" w:color="800000"/>
              <w:left w:val="single" w:sz="4" w:space="0" w:color="800000"/>
              <w:right w:val="single" w:sz="4" w:space="0" w:color="800000"/>
            </w:tcBorders>
          </w:tcPr>
          <w:p>
            <w:pPr>
              <w:pStyle w:val="TableParagraph"/>
              <w:ind w:left="351" w:right="343"/>
              <w:rPr>
                <w:sz w:val="21"/>
              </w:rPr>
            </w:pPr>
            <w:r>
              <w:rPr>
                <w:sz w:val="21"/>
              </w:rPr>
              <w:t>口罩通气阻力及压力差测试仪</w:t>
            </w:r>
          </w:p>
        </w:tc>
        <w:tc>
          <w:tcPr>
            <w:tcW w:w="1700" w:type="dxa"/>
            <w:tcBorders>
              <w:top w:val="single" w:sz="4" w:space="0" w:color="800000"/>
              <w:left w:val="single" w:sz="4" w:space="0" w:color="800000"/>
              <w:right w:val="single" w:sz="4" w:space="0" w:color="800000"/>
            </w:tcBorders>
          </w:tcPr>
          <w:p>
            <w:pPr>
              <w:pStyle w:val="TableParagraph"/>
              <w:ind w:left="410" w:right="399"/>
              <w:rPr>
                <w:sz w:val="21"/>
              </w:rPr>
            </w:pPr>
            <w:r>
              <w:rPr>
                <w:sz w:val="21"/>
              </w:rPr>
              <w:t>GBN702</w:t>
            </w:r>
          </w:p>
        </w:tc>
        <w:tc>
          <w:tcPr>
            <w:tcW w:w="3358" w:type="dxa"/>
            <w:tcBorders>
              <w:top w:val="single" w:sz="4" w:space="0" w:color="800000"/>
              <w:left w:val="single" w:sz="4" w:space="0" w:color="800000"/>
            </w:tcBorders>
          </w:tcPr>
          <w:p>
            <w:pPr>
              <w:pStyle w:val="TableParagraph"/>
              <w:ind w:left="403" w:right="365"/>
              <w:rPr>
                <w:sz w:val="21"/>
              </w:rPr>
            </w:pPr>
            <w:r>
              <w:rPr>
                <w:sz w:val="21"/>
              </w:rPr>
              <w:t>广州标际包装设备有限公司</w:t>
            </w:r>
          </w:p>
        </w:tc>
      </w:tr>
    </w:tbl>
    <w:p>
      <w:pPr>
        <w:spacing w:after="0"/>
        <w:rPr>
          <w:sz w:val="21"/>
        </w:rPr>
        <w:sectPr>
          <w:pgSz w:w="11910" w:h="16840"/>
          <w:pgMar w:top="1440" w:bottom="280" w:left="1200" w:right="760"/>
        </w:sectPr>
      </w:pPr>
    </w:p>
    <w:tbl>
      <w:tblPr>
        <w:tblW w:w="0" w:type="auto"/>
        <w:jc w:val="left"/>
        <w:tblInd w:w="135" w:type="dxa"/>
        <w:tblBorders>
          <w:top w:val="triple" w:sz="4" w:space="0" w:color="800000"/>
          <w:left w:val="triple" w:sz="4" w:space="0" w:color="800000"/>
          <w:bottom w:val="triple" w:sz="4" w:space="0" w:color="800000"/>
          <w:right w:val="triple" w:sz="4" w:space="0" w:color="800000"/>
          <w:insideH w:val="triple" w:sz="4" w:space="0" w:color="800000"/>
          <w:insideV w:val="triple" w:sz="4" w:space="0" w:color="800000"/>
        </w:tblBorders>
        <w:tblLayout w:type="fixed"/>
        <w:tblCellMar>
          <w:top w:w="0" w:type="dxa"/>
          <w:left w:w="0" w:type="dxa"/>
          <w:bottom w:w="0" w:type="dxa"/>
          <w:right w:w="0" w:type="dxa"/>
        </w:tblCellMar>
        <w:tblLook w:val="01E0"/>
      </w:tblPr>
      <w:tblGrid>
        <w:gridCol w:w="816"/>
        <w:gridCol w:w="3686"/>
        <w:gridCol w:w="1700"/>
        <w:gridCol w:w="3368"/>
      </w:tblGrid>
      <w:tr>
        <w:trPr>
          <w:trHeight w:val="454" w:hRule="atLeast"/>
        </w:trPr>
        <w:tc>
          <w:tcPr>
            <w:tcW w:w="816" w:type="dxa"/>
            <w:tcBorders>
              <w:bottom w:val="single" w:sz="4" w:space="0" w:color="800000"/>
              <w:right w:val="single" w:sz="4" w:space="0" w:color="800000"/>
            </w:tcBorders>
          </w:tcPr>
          <w:p>
            <w:pPr>
              <w:pStyle w:val="TableParagraph"/>
              <w:spacing w:before="93"/>
              <w:ind w:left="158" w:right="167"/>
              <w:rPr>
                <w:sz w:val="21"/>
              </w:rPr>
            </w:pPr>
            <w:r>
              <w:rPr>
                <w:sz w:val="21"/>
              </w:rPr>
              <w:t>序号</w:t>
            </w:r>
          </w:p>
        </w:tc>
        <w:tc>
          <w:tcPr>
            <w:tcW w:w="3686" w:type="dxa"/>
            <w:tcBorders>
              <w:left w:val="single" w:sz="4" w:space="0" w:color="800000"/>
              <w:bottom w:val="single" w:sz="4" w:space="0" w:color="800000"/>
              <w:right w:val="single" w:sz="4" w:space="0" w:color="800000"/>
            </w:tcBorders>
          </w:tcPr>
          <w:p>
            <w:pPr>
              <w:pStyle w:val="TableParagraph"/>
              <w:spacing w:before="93"/>
              <w:ind w:left="351" w:right="338"/>
              <w:rPr>
                <w:sz w:val="21"/>
              </w:rPr>
            </w:pPr>
            <w:r>
              <w:rPr>
                <w:w w:val="95"/>
                <w:sz w:val="21"/>
              </w:rPr>
              <w:t>设备名称</w:t>
            </w:r>
          </w:p>
        </w:tc>
        <w:tc>
          <w:tcPr>
            <w:tcW w:w="1700" w:type="dxa"/>
            <w:tcBorders>
              <w:left w:val="single" w:sz="4" w:space="0" w:color="800000"/>
              <w:bottom w:val="single" w:sz="4" w:space="0" w:color="800000"/>
              <w:right w:val="single" w:sz="4" w:space="0" w:color="800000"/>
            </w:tcBorders>
          </w:tcPr>
          <w:p>
            <w:pPr>
              <w:pStyle w:val="TableParagraph"/>
              <w:spacing w:before="93"/>
              <w:ind w:right="415"/>
              <w:jc w:val="right"/>
              <w:rPr>
                <w:sz w:val="21"/>
              </w:rPr>
            </w:pPr>
            <w:r>
              <w:rPr>
                <w:w w:val="95"/>
                <w:sz w:val="21"/>
              </w:rPr>
              <w:t>规格型号</w:t>
            </w:r>
          </w:p>
        </w:tc>
        <w:tc>
          <w:tcPr>
            <w:tcW w:w="3368" w:type="dxa"/>
            <w:tcBorders>
              <w:left w:val="single" w:sz="4" w:space="0" w:color="800000"/>
              <w:bottom w:val="single" w:sz="4" w:space="0" w:color="800000"/>
            </w:tcBorders>
          </w:tcPr>
          <w:p>
            <w:pPr>
              <w:pStyle w:val="TableParagraph"/>
              <w:spacing w:before="93"/>
              <w:ind w:left="192" w:right="159"/>
              <w:rPr>
                <w:sz w:val="21"/>
              </w:rPr>
            </w:pPr>
            <w:r>
              <w:rPr>
                <w:w w:val="95"/>
                <w:sz w:val="21"/>
              </w:rPr>
              <w:t>生产厂家</w:t>
            </w:r>
          </w:p>
        </w:tc>
      </w:tr>
      <w:tr>
        <w:trPr>
          <w:trHeight w:val="453" w:hRule="atLeast"/>
        </w:trPr>
        <w:tc>
          <w:tcPr>
            <w:tcW w:w="816" w:type="dxa"/>
            <w:tcBorders>
              <w:top w:val="single" w:sz="4" w:space="0" w:color="800000"/>
              <w:bottom w:val="single" w:sz="4" w:space="0" w:color="800000"/>
              <w:right w:val="single" w:sz="4" w:space="0" w:color="800000"/>
            </w:tcBorders>
          </w:tcPr>
          <w:p>
            <w:pPr>
              <w:pStyle w:val="TableParagraph"/>
              <w:spacing w:before="91"/>
              <w:ind w:right="8"/>
              <w:rPr>
                <w:sz w:val="21"/>
              </w:rPr>
            </w:pPr>
            <w:r>
              <w:rPr>
                <w:w w:val="99"/>
                <w:sz w:val="21"/>
              </w:rPr>
              <w:t>3</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spacing w:before="91"/>
              <w:ind w:left="351" w:right="345"/>
              <w:rPr>
                <w:sz w:val="21"/>
              </w:rPr>
            </w:pPr>
            <w:r>
              <w:rPr>
                <w:sz w:val="21"/>
              </w:rPr>
              <w:t>口罩细菌过滤效率(BFE）检测仪</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spacing w:before="91"/>
              <w:ind w:right="366"/>
              <w:jc w:val="right"/>
              <w:rPr>
                <w:sz w:val="21"/>
              </w:rPr>
            </w:pPr>
            <w:r>
              <w:rPr>
                <w:sz w:val="21"/>
              </w:rPr>
              <w:t>GB-XF1000</w:t>
            </w:r>
          </w:p>
        </w:tc>
        <w:tc>
          <w:tcPr>
            <w:tcW w:w="3368" w:type="dxa"/>
            <w:tcBorders>
              <w:top w:val="single" w:sz="4" w:space="0" w:color="800000"/>
              <w:left w:val="single" w:sz="4" w:space="0" w:color="800000"/>
              <w:bottom w:val="single" w:sz="4" w:space="0" w:color="800000"/>
            </w:tcBorders>
          </w:tcPr>
          <w:p>
            <w:pPr>
              <w:pStyle w:val="TableParagraph"/>
              <w:spacing w:before="91"/>
              <w:ind w:left="192" w:right="164"/>
              <w:rPr>
                <w:sz w:val="21"/>
              </w:rPr>
            </w:pPr>
            <w:r>
              <w:rPr>
                <w:sz w:val="21"/>
              </w:rPr>
              <w:t>广州标际包装设备有限公司</w:t>
            </w:r>
          </w:p>
        </w:tc>
      </w:tr>
      <w:tr>
        <w:trPr>
          <w:trHeight w:val="454" w:hRule="atLeast"/>
        </w:trPr>
        <w:tc>
          <w:tcPr>
            <w:tcW w:w="816" w:type="dxa"/>
            <w:tcBorders>
              <w:top w:val="single" w:sz="4" w:space="0" w:color="800000"/>
              <w:bottom w:val="single" w:sz="4" w:space="0" w:color="800000"/>
              <w:right w:val="single" w:sz="4" w:space="0" w:color="800000"/>
            </w:tcBorders>
          </w:tcPr>
          <w:p>
            <w:pPr>
              <w:pStyle w:val="TableParagraph"/>
              <w:spacing w:before="93"/>
              <w:ind w:right="8"/>
              <w:rPr>
                <w:sz w:val="21"/>
              </w:rPr>
            </w:pPr>
            <w:r>
              <w:rPr>
                <w:w w:val="99"/>
                <w:sz w:val="21"/>
              </w:rPr>
              <w:t>4</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spacing w:before="93"/>
              <w:ind w:left="351" w:right="343"/>
              <w:rPr>
                <w:sz w:val="21"/>
              </w:rPr>
            </w:pPr>
            <w:r>
              <w:rPr>
                <w:sz w:val="21"/>
              </w:rPr>
              <w:t>推拉力仪</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spacing w:before="93"/>
              <w:ind w:left="480"/>
              <w:jc w:val="left"/>
              <w:rPr>
                <w:sz w:val="21"/>
              </w:rPr>
            </w:pPr>
            <w:r>
              <w:rPr>
                <w:sz w:val="21"/>
              </w:rPr>
              <w:t>ZNLD-01</w:t>
            </w:r>
          </w:p>
        </w:tc>
        <w:tc>
          <w:tcPr>
            <w:tcW w:w="3368" w:type="dxa"/>
            <w:tcBorders>
              <w:top w:val="single" w:sz="4" w:space="0" w:color="800000"/>
              <w:left w:val="single" w:sz="4" w:space="0" w:color="800000"/>
              <w:bottom w:val="single" w:sz="4" w:space="0" w:color="800000"/>
            </w:tcBorders>
          </w:tcPr>
          <w:p>
            <w:pPr>
              <w:pStyle w:val="TableParagraph"/>
              <w:spacing w:before="93"/>
              <w:ind w:left="192" w:right="166"/>
              <w:rPr>
                <w:sz w:val="21"/>
              </w:rPr>
            </w:pPr>
            <w:r>
              <w:rPr>
                <w:sz w:val="21"/>
              </w:rPr>
              <w:t>济南中诺仪器有限公司</w:t>
            </w:r>
          </w:p>
        </w:tc>
      </w:tr>
      <w:tr>
        <w:trPr>
          <w:trHeight w:val="453" w:hRule="atLeast"/>
        </w:trPr>
        <w:tc>
          <w:tcPr>
            <w:tcW w:w="816" w:type="dxa"/>
            <w:tcBorders>
              <w:top w:val="single" w:sz="4" w:space="0" w:color="800000"/>
              <w:bottom w:val="single" w:sz="4" w:space="0" w:color="800000"/>
              <w:right w:val="single" w:sz="4" w:space="0" w:color="800000"/>
            </w:tcBorders>
          </w:tcPr>
          <w:p>
            <w:pPr>
              <w:pStyle w:val="TableParagraph"/>
              <w:ind w:right="8"/>
              <w:rPr>
                <w:sz w:val="21"/>
              </w:rPr>
            </w:pPr>
            <w:r>
              <w:rPr>
                <w:w w:val="99"/>
                <w:sz w:val="21"/>
              </w:rPr>
              <w:t>5</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ind w:left="351" w:right="340"/>
              <w:rPr>
                <w:sz w:val="21"/>
              </w:rPr>
            </w:pPr>
            <w:r>
              <w:rPr>
                <w:w w:val="95"/>
                <w:sz w:val="21"/>
              </w:rPr>
              <w:t>PHS-3C</w:t>
            </w:r>
            <w:r>
              <w:rPr>
                <w:spacing w:val="-24"/>
                <w:w w:val="95"/>
                <w:sz w:val="21"/>
              </w:rPr>
              <w:t> 型 </w:t>
            </w:r>
            <w:r>
              <w:rPr>
                <w:w w:val="95"/>
                <w:sz w:val="21"/>
              </w:rPr>
              <w:t>PH</w:t>
            </w:r>
            <w:r>
              <w:rPr>
                <w:spacing w:val="-16"/>
                <w:w w:val="95"/>
                <w:sz w:val="21"/>
              </w:rPr>
              <w:t> 计</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ind w:left="535"/>
              <w:jc w:val="left"/>
              <w:rPr>
                <w:sz w:val="21"/>
              </w:rPr>
            </w:pPr>
            <w:r>
              <w:rPr>
                <w:sz w:val="21"/>
              </w:rPr>
              <w:t>PHS-3C</w:t>
            </w:r>
          </w:p>
        </w:tc>
        <w:tc>
          <w:tcPr>
            <w:tcW w:w="3368" w:type="dxa"/>
            <w:tcBorders>
              <w:top w:val="single" w:sz="4" w:space="0" w:color="800000"/>
              <w:left w:val="single" w:sz="4" w:space="0" w:color="800000"/>
              <w:bottom w:val="single" w:sz="4" w:space="0" w:color="800000"/>
            </w:tcBorders>
          </w:tcPr>
          <w:p>
            <w:pPr>
              <w:pStyle w:val="TableParagraph"/>
              <w:ind w:left="192" w:right="166"/>
              <w:rPr>
                <w:sz w:val="21"/>
              </w:rPr>
            </w:pPr>
            <w:r>
              <w:rPr>
                <w:sz w:val="21"/>
              </w:rPr>
              <w:t>上海仪电科学仪器股份有限公司</w:t>
            </w:r>
          </w:p>
        </w:tc>
      </w:tr>
      <w:tr>
        <w:trPr>
          <w:trHeight w:val="454" w:hRule="atLeast"/>
        </w:trPr>
        <w:tc>
          <w:tcPr>
            <w:tcW w:w="816" w:type="dxa"/>
            <w:tcBorders>
              <w:top w:val="single" w:sz="4" w:space="0" w:color="800000"/>
              <w:bottom w:val="single" w:sz="4" w:space="0" w:color="800000"/>
              <w:right w:val="single" w:sz="4" w:space="0" w:color="800000"/>
            </w:tcBorders>
          </w:tcPr>
          <w:p>
            <w:pPr>
              <w:pStyle w:val="TableParagraph"/>
              <w:spacing w:before="91"/>
              <w:ind w:right="8"/>
              <w:rPr>
                <w:sz w:val="21"/>
              </w:rPr>
            </w:pPr>
            <w:r>
              <w:rPr>
                <w:w w:val="99"/>
                <w:sz w:val="21"/>
              </w:rPr>
              <w:t>6</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spacing w:before="91"/>
              <w:ind w:left="351" w:right="345"/>
              <w:rPr>
                <w:sz w:val="21"/>
              </w:rPr>
            </w:pPr>
            <w:r>
              <w:rPr>
                <w:sz w:val="21"/>
              </w:rPr>
              <w:t>手提式高压蒸汽灭菌器</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spacing w:before="91"/>
              <w:ind w:right="416"/>
              <w:jc w:val="right"/>
              <w:rPr>
                <w:sz w:val="21"/>
              </w:rPr>
            </w:pPr>
            <w:r>
              <w:rPr>
                <w:sz w:val="21"/>
              </w:rPr>
              <w:t>DSX-280B</w:t>
            </w:r>
          </w:p>
        </w:tc>
        <w:tc>
          <w:tcPr>
            <w:tcW w:w="3368" w:type="dxa"/>
            <w:tcBorders>
              <w:top w:val="single" w:sz="4" w:space="0" w:color="800000"/>
              <w:left w:val="single" w:sz="4" w:space="0" w:color="800000"/>
              <w:bottom w:val="single" w:sz="4" w:space="0" w:color="800000"/>
            </w:tcBorders>
          </w:tcPr>
          <w:p>
            <w:pPr>
              <w:pStyle w:val="TableParagraph"/>
              <w:spacing w:before="91"/>
              <w:ind w:left="192" w:right="164"/>
              <w:rPr>
                <w:sz w:val="21"/>
              </w:rPr>
            </w:pPr>
            <w:r>
              <w:rPr>
                <w:sz w:val="21"/>
              </w:rPr>
              <w:t>上海申安医疗器械厂</w:t>
            </w:r>
          </w:p>
        </w:tc>
      </w:tr>
      <w:tr>
        <w:trPr>
          <w:trHeight w:val="454" w:hRule="atLeast"/>
        </w:trPr>
        <w:tc>
          <w:tcPr>
            <w:tcW w:w="816" w:type="dxa"/>
            <w:tcBorders>
              <w:top w:val="single" w:sz="4" w:space="0" w:color="800000"/>
              <w:bottom w:val="single" w:sz="4" w:space="0" w:color="800000"/>
              <w:right w:val="single" w:sz="4" w:space="0" w:color="800000"/>
            </w:tcBorders>
          </w:tcPr>
          <w:p>
            <w:pPr>
              <w:pStyle w:val="TableParagraph"/>
              <w:spacing w:before="93"/>
              <w:ind w:right="8"/>
              <w:rPr>
                <w:sz w:val="21"/>
              </w:rPr>
            </w:pPr>
            <w:r>
              <w:rPr>
                <w:w w:val="99"/>
                <w:sz w:val="21"/>
              </w:rPr>
              <w:t>7</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spacing w:before="93"/>
              <w:ind w:left="351" w:right="343"/>
              <w:rPr>
                <w:sz w:val="21"/>
              </w:rPr>
            </w:pPr>
            <w:r>
              <w:rPr>
                <w:sz w:val="21"/>
              </w:rPr>
              <w:t>鼓风干燥箱</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spacing w:before="93"/>
              <w:ind w:right="366"/>
              <w:jc w:val="right"/>
              <w:rPr>
                <w:sz w:val="21"/>
              </w:rPr>
            </w:pPr>
            <w:r>
              <w:rPr>
                <w:sz w:val="21"/>
              </w:rPr>
              <w:t>DHG-9070A</w:t>
            </w:r>
          </w:p>
        </w:tc>
        <w:tc>
          <w:tcPr>
            <w:tcW w:w="3368" w:type="dxa"/>
            <w:tcBorders>
              <w:top w:val="single" w:sz="4" w:space="0" w:color="800000"/>
              <w:left w:val="single" w:sz="4" w:space="0" w:color="800000"/>
              <w:bottom w:val="single" w:sz="4" w:space="0" w:color="800000"/>
            </w:tcBorders>
          </w:tcPr>
          <w:p>
            <w:pPr>
              <w:pStyle w:val="TableParagraph"/>
              <w:spacing w:before="93"/>
              <w:ind w:left="192" w:right="164"/>
              <w:rPr>
                <w:sz w:val="21"/>
              </w:rPr>
            </w:pPr>
            <w:r>
              <w:rPr>
                <w:sz w:val="21"/>
              </w:rPr>
              <w:t>上海一恒科学仪器有限公司</w:t>
            </w:r>
          </w:p>
        </w:tc>
      </w:tr>
      <w:tr>
        <w:trPr>
          <w:trHeight w:val="453" w:hRule="atLeast"/>
        </w:trPr>
        <w:tc>
          <w:tcPr>
            <w:tcW w:w="816" w:type="dxa"/>
            <w:tcBorders>
              <w:top w:val="single" w:sz="4" w:space="0" w:color="800000"/>
              <w:bottom w:val="single" w:sz="4" w:space="0" w:color="800000"/>
              <w:right w:val="single" w:sz="4" w:space="0" w:color="800000"/>
            </w:tcBorders>
          </w:tcPr>
          <w:p>
            <w:pPr>
              <w:pStyle w:val="TableParagraph"/>
              <w:ind w:right="8"/>
              <w:rPr>
                <w:sz w:val="21"/>
              </w:rPr>
            </w:pPr>
            <w:r>
              <w:rPr>
                <w:w w:val="99"/>
                <w:sz w:val="21"/>
              </w:rPr>
              <w:t>8</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ind w:left="351" w:right="343"/>
              <w:rPr>
                <w:sz w:val="21"/>
              </w:rPr>
            </w:pPr>
            <w:r>
              <w:rPr>
                <w:sz w:val="21"/>
              </w:rPr>
              <w:t>生化培养箱</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ind w:left="535"/>
              <w:jc w:val="left"/>
              <w:rPr>
                <w:sz w:val="21"/>
              </w:rPr>
            </w:pPr>
            <w:r>
              <w:rPr>
                <w:sz w:val="21"/>
              </w:rPr>
              <w:t>LRH-70</w:t>
            </w:r>
          </w:p>
        </w:tc>
        <w:tc>
          <w:tcPr>
            <w:tcW w:w="3368" w:type="dxa"/>
            <w:tcBorders>
              <w:top w:val="single" w:sz="4" w:space="0" w:color="800000"/>
              <w:left w:val="single" w:sz="4" w:space="0" w:color="800000"/>
              <w:bottom w:val="single" w:sz="4" w:space="0" w:color="800000"/>
            </w:tcBorders>
          </w:tcPr>
          <w:p>
            <w:pPr>
              <w:pStyle w:val="TableParagraph"/>
              <w:ind w:left="192" w:right="164"/>
              <w:rPr>
                <w:sz w:val="21"/>
              </w:rPr>
            </w:pPr>
            <w:r>
              <w:rPr>
                <w:sz w:val="21"/>
              </w:rPr>
              <w:t>上海一恒科学仪器有限公司</w:t>
            </w:r>
          </w:p>
        </w:tc>
      </w:tr>
      <w:tr>
        <w:trPr>
          <w:trHeight w:val="454" w:hRule="atLeast"/>
        </w:trPr>
        <w:tc>
          <w:tcPr>
            <w:tcW w:w="816" w:type="dxa"/>
            <w:tcBorders>
              <w:top w:val="single" w:sz="4" w:space="0" w:color="800000"/>
              <w:bottom w:val="single" w:sz="4" w:space="0" w:color="800000"/>
              <w:right w:val="single" w:sz="4" w:space="0" w:color="800000"/>
            </w:tcBorders>
          </w:tcPr>
          <w:p>
            <w:pPr>
              <w:pStyle w:val="TableParagraph"/>
              <w:spacing w:before="91"/>
              <w:ind w:right="8"/>
              <w:rPr>
                <w:sz w:val="21"/>
              </w:rPr>
            </w:pPr>
            <w:r>
              <w:rPr>
                <w:w w:val="99"/>
                <w:sz w:val="21"/>
              </w:rPr>
              <w:t>9</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spacing w:before="91"/>
              <w:ind w:left="351" w:right="345"/>
              <w:rPr>
                <w:sz w:val="21"/>
              </w:rPr>
            </w:pPr>
            <w:r>
              <w:rPr>
                <w:sz w:val="21"/>
              </w:rPr>
              <w:t>微生物限度仪</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spacing w:before="91"/>
              <w:ind w:left="535"/>
              <w:jc w:val="left"/>
              <w:rPr>
                <w:sz w:val="21"/>
              </w:rPr>
            </w:pPr>
            <w:r>
              <w:rPr>
                <w:sz w:val="21"/>
              </w:rPr>
              <w:t>MT-303</w:t>
            </w:r>
          </w:p>
        </w:tc>
        <w:tc>
          <w:tcPr>
            <w:tcW w:w="3368" w:type="dxa"/>
            <w:tcBorders>
              <w:top w:val="single" w:sz="4" w:space="0" w:color="800000"/>
              <w:left w:val="single" w:sz="4" w:space="0" w:color="800000"/>
              <w:bottom w:val="single" w:sz="4" w:space="0" w:color="800000"/>
            </w:tcBorders>
          </w:tcPr>
          <w:p>
            <w:pPr>
              <w:pStyle w:val="TableParagraph"/>
              <w:spacing w:before="91"/>
              <w:ind w:left="192" w:right="164"/>
              <w:rPr>
                <w:sz w:val="21"/>
              </w:rPr>
            </w:pPr>
            <w:r>
              <w:rPr>
                <w:sz w:val="21"/>
              </w:rPr>
              <w:t>浙江孚夏医疗科技有限公司</w:t>
            </w:r>
          </w:p>
        </w:tc>
      </w:tr>
      <w:tr>
        <w:trPr>
          <w:trHeight w:val="453" w:hRule="atLeast"/>
        </w:trPr>
        <w:tc>
          <w:tcPr>
            <w:tcW w:w="816" w:type="dxa"/>
            <w:tcBorders>
              <w:top w:val="single" w:sz="4" w:space="0" w:color="800000"/>
              <w:bottom w:val="single" w:sz="4" w:space="0" w:color="800000"/>
              <w:right w:val="single" w:sz="4" w:space="0" w:color="800000"/>
            </w:tcBorders>
          </w:tcPr>
          <w:p>
            <w:pPr>
              <w:pStyle w:val="TableParagraph"/>
              <w:ind w:left="158" w:right="166"/>
              <w:rPr>
                <w:sz w:val="21"/>
              </w:rPr>
            </w:pPr>
            <w:r>
              <w:rPr>
                <w:sz w:val="21"/>
              </w:rPr>
              <w:t>10</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ind w:left="351" w:right="345"/>
              <w:rPr>
                <w:sz w:val="21"/>
              </w:rPr>
            </w:pPr>
            <w:r>
              <w:rPr>
                <w:sz w:val="21"/>
              </w:rPr>
              <w:t>电热恒温培养箱</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ind w:left="480"/>
              <w:jc w:val="left"/>
              <w:rPr>
                <w:sz w:val="21"/>
              </w:rPr>
            </w:pPr>
            <w:r>
              <w:rPr>
                <w:sz w:val="21"/>
              </w:rPr>
              <w:t>303-OOB</w:t>
            </w:r>
          </w:p>
        </w:tc>
        <w:tc>
          <w:tcPr>
            <w:tcW w:w="3368" w:type="dxa"/>
            <w:tcBorders>
              <w:top w:val="single" w:sz="4" w:space="0" w:color="800000"/>
              <w:left w:val="single" w:sz="4" w:space="0" w:color="800000"/>
              <w:bottom w:val="single" w:sz="4" w:space="0" w:color="800000"/>
            </w:tcBorders>
          </w:tcPr>
          <w:p>
            <w:pPr>
              <w:pStyle w:val="TableParagraph"/>
              <w:ind w:left="192" w:right="164"/>
              <w:rPr>
                <w:sz w:val="21"/>
              </w:rPr>
            </w:pPr>
            <w:r>
              <w:rPr>
                <w:sz w:val="21"/>
              </w:rPr>
              <w:t>绍兴市银河机械仪器有限公司</w:t>
            </w:r>
          </w:p>
        </w:tc>
      </w:tr>
      <w:tr>
        <w:trPr>
          <w:trHeight w:val="454" w:hRule="atLeast"/>
        </w:trPr>
        <w:tc>
          <w:tcPr>
            <w:tcW w:w="816" w:type="dxa"/>
            <w:tcBorders>
              <w:top w:val="single" w:sz="4" w:space="0" w:color="800000"/>
              <w:bottom w:val="single" w:sz="4" w:space="0" w:color="800000"/>
              <w:right w:val="single" w:sz="4" w:space="0" w:color="800000"/>
            </w:tcBorders>
          </w:tcPr>
          <w:p>
            <w:pPr>
              <w:pStyle w:val="TableParagraph"/>
              <w:ind w:left="158" w:right="166"/>
              <w:rPr>
                <w:sz w:val="21"/>
              </w:rPr>
            </w:pPr>
            <w:r>
              <w:rPr>
                <w:sz w:val="21"/>
              </w:rPr>
              <w:t>11</w:t>
            </w:r>
          </w:p>
        </w:tc>
        <w:tc>
          <w:tcPr>
            <w:tcW w:w="3686" w:type="dxa"/>
            <w:tcBorders>
              <w:top w:val="single" w:sz="4" w:space="0" w:color="800000"/>
              <w:left w:val="single" w:sz="4" w:space="0" w:color="800000"/>
              <w:bottom w:val="single" w:sz="4" w:space="0" w:color="800000"/>
              <w:right w:val="single" w:sz="4" w:space="0" w:color="800000"/>
            </w:tcBorders>
          </w:tcPr>
          <w:p>
            <w:pPr>
              <w:pStyle w:val="TableParagraph"/>
              <w:ind w:left="351" w:right="343"/>
              <w:rPr>
                <w:sz w:val="21"/>
              </w:rPr>
            </w:pPr>
            <w:r>
              <w:rPr>
                <w:sz w:val="21"/>
              </w:rPr>
              <w:t>纺织品甲醛测试仪</w:t>
            </w:r>
          </w:p>
        </w:tc>
        <w:tc>
          <w:tcPr>
            <w:tcW w:w="1700" w:type="dxa"/>
            <w:tcBorders>
              <w:top w:val="single" w:sz="4" w:space="0" w:color="800000"/>
              <w:left w:val="single" w:sz="4" w:space="0" w:color="800000"/>
              <w:bottom w:val="single" w:sz="4" w:space="0" w:color="800000"/>
              <w:right w:val="single" w:sz="4" w:space="0" w:color="800000"/>
            </w:tcBorders>
          </w:tcPr>
          <w:p>
            <w:pPr>
              <w:pStyle w:val="TableParagraph"/>
              <w:ind w:left="535"/>
              <w:jc w:val="left"/>
              <w:rPr>
                <w:sz w:val="21"/>
              </w:rPr>
            </w:pPr>
            <w:r>
              <w:rPr>
                <w:sz w:val="21"/>
              </w:rPr>
              <w:t>YKM-FJ</w:t>
            </w:r>
          </w:p>
        </w:tc>
        <w:tc>
          <w:tcPr>
            <w:tcW w:w="3368" w:type="dxa"/>
            <w:tcBorders>
              <w:top w:val="single" w:sz="4" w:space="0" w:color="800000"/>
              <w:left w:val="single" w:sz="4" w:space="0" w:color="800000"/>
              <w:bottom w:val="single" w:sz="4" w:space="0" w:color="800000"/>
            </w:tcBorders>
          </w:tcPr>
          <w:p>
            <w:pPr>
              <w:pStyle w:val="TableParagraph"/>
              <w:ind w:left="192" w:right="164"/>
              <w:rPr>
                <w:sz w:val="21"/>
              </w:rPr>
            </w:pPr>
            <w:r>
              <w:rPr>
                <w:sz w:val="21"/>
              </w:rPr>
              <w:t>上海佑科仪器仪表有限公司</w:t>
            </w:r>
          </w:p>
        </w:tc>
      </w:tr>
      <w:tr>
        <w:trPr>
          <w:trHeight w:val="453" w:hRule="atLeast"/>
        </w:trPr>
        <w:tc>
          <w:tcPr>
            <w:tcW w:w="816" w:type="dxa"/>
            <w:tcBorders>
              <w:top w:val="single" w:sz="4" w:space="0" w:color="800000"/>
              <w:right w:val="single" w:sz="4" w:space="0" w:color="800000"/>
            </w:tcBorders>
          </w:tcPr>
          <w:p>
            <w:pPr>
              <w:pStyle w:val="TableParagraph"/>
              <w:spacing w:before="91"/>
              <w:ind w:left="158" w:right="166"/>
              <w:rPr>
                <w:sz w:val="21"/>
              </w:rPr>
            </w:pPr>
            <w:r>
              <w:rPr>
                <w:sz w:val="21"/>
              </w:rPr>
              <w:t>12</w:t>
            </w:r>
          </w:p>
        </w:tc>
        <w:tc>
          <w:tcPr>
            <w:tcW w:w="3686" w:type="dxa"/>
            <w:tcBorders>
              <w:top w:val="single" w:sz="4" w:space="0" w:color="800000"/>
              <w:left w:val="single" w:sz="4" w:space="0" w:color="800000"/>
              <w:right w:val="single" w:sz="4" w:space="0" w:color="800000"/>
            </w:tcBorders>
          </w:tcPr>
          <w:p>
            <w:pPr>
              <w:pStyle w:val="TableParagraph"/>
              <w:spacing w:before="91"/>
              <w:ind w:left="351" w:right="345"/>
              <w:rPr>
                <w:sz w:val="21"/>
              </w:rPr>
            </w:pPr>
            <w:r>
              <w:rPr>
                <w:sz w:val="21"/>
              </w:rPr>
              <w:t>色牢度测试仪</w:t>
            </w:r>
          </w:p>
        </w:tc>
        <w:tc>
          <w:tcPr>
            <w:tcW w:w="1700" w:type="dxa"/>
            <w:tcBorders>
              <w:top w:val="single" w:sz="4" w:space="0" w:color="800000"/>
              <w:left w:val="single" w:sz="4" w:space="0" w:color="800000"/>
              <w:right w:val="single" w:sz="4" w:space="0" w:color="800000"/>
            </w:tcBorders>
          </w:tcPr>
          <w:p>
            <w:pPr>
              <w:pStyle w:val="TableParagraph"/>
              <w:spacing w:before="91"/>
              <w:ind w:left="535"/>
              <w:jc w:val="left"/>
              <w:rPr>
                <w:sz w:val="21"/>
              </w:rPr>
            </w:pPr>
            <w:r>
              <w:rPr>
                <w:sz w:val="21"/>
              </w:rPr>
              <w:t>YB571X</w:t>
            </w:r>
          </w:p>
        </w:tc>
        <w:tc>
          <w:tcPr>
            <w:tcW w:w="3368" w:type="dxa"/>
            <w:tcBorders>
              <w:top w:val="single" w:sz="4" w:space="0" w:color="800000"/>
              <w:left w:val="single" w:sz="4" w:space="0" w:color="800000"/>
            </w:tcBorders>
          </w:tcPr>
          <w:p>
            <w:pPr>
              <w:pStyle w:val="TableParagraph"/>
              <w:spacing w:before="91"/>
              <w:ind w:left="192" w:right="164"/>
              <w:rPr>
                <w:sz w:val="21"/>
              </w:rPr>
            </w:pPr>
            <w:r>
              <w:rPr>
                <w:sz w:val="21"/>
              </w:rPr>
              <w:t>温州市大荣纺织仪器有限公司</w:t>
            </w:r>
          </w:p>
        </w:tc>
      </w:tr>
    </w:tbl>
    <w:p>
      <w:pPr>
        <w:pStyle w:val="BodyText"/>
        <w:spacing w:before="5"/>
        <w:ind w:left="0"/>
        <w:rPr>
          <w:sz w:val="19"/>
        </w:rPr>
      </w:pPr>
    </w:p>
    <w:p>
      <w:pPr>
        <w:pStyle w:val="Heading2"/>
        <w:spacing w:before="61"/>
      </w:pPr>
      <w:bookmarkStart w:name="五、产品质量责任" w:id="23"/>
      <w:bookmarkEnd w:id="23"/>
      <w:r>
        <w:rPr/>
      </w:r>
      <w:r>
        <w:rPr/>
        <w:t>五、产品质量责任</w:t>
      </w:r>
    </w:p>
    <w:p>
      <w:pPr>
        <w:pStyle w:val="BodyText"/>
        <w:spacing w:before="212"/>
        <w:ind w:left="698"/>
      </w:pPr>
      <w:bookmarkStart w:name="（一）产品质量水平" w:id="24"/>
      <w:bookmarkEnd w:id="24"/>
      <w:r>
        <w:rPr/>
      </w:r>
      <w:r>
        <w:rPr/>
        <w:t>（一）产品质量水平</w:t>
      </w:r>
    </w:p>
    <w:p>
      <w:pPr>
        <w:pStyle w:val="BodyText"/>
        <w:spacing w:line="364" w:lineRule="auto" w:before="161"/>
        <w:ind w:right="399" w:firstLine="463"/>
        <w:jc w:val="both"/>
      </w:pPr>
      <w:r>
        <w:rPr>
          <w:spacing w:val="-10"/>
        </w:rPr>
        <w:t>公司不断壮大“精干、专业、创新、高效”的研发团队，持续改善产品技术水平和质量性能，目前已被全球顾客和行业的认可。产品主要销往欧美发达国家，与国外多家世界 </w:t>
      </w:r>
      <w:r>
        <w:rPr>
          <w:spacing w:val="-3"/>
        </w:rPr>
        <w:t>500</w:t>
      </w:r>
      <w:r>
        <w:rPr>
          <w:spacing w:val="-117"/>
        </w:rPr>
        <w:t> </w:t>
      </w:r>
      <w:r>
        <w:rPr>
          <w:spacing w:val="-10"/>
        </w:rPr>
        <w:t>强企业、进口品牌商等有长期业务合作。公司始终坚持以聚会用日用品和家用纺织品为业务核心，以拓展国际市场为起点，狠抓品质管理，建立了迅速应对不同市场需求的产品研发机</w:t>
      </w:r>
      <w:r>
        <w:rPr/>
        <w:t>制，在行业内拥有较高的知名度与美誉度。</w:t>
      </w:r>
    </w:p>
    <w:p>
      <w:pPr>
        <w:spacing w:line="213" w:lineRule="exact" w:before="0" w:after="41"/>
        <w:ind w:left="3154" w:right="3313" w:firstLine="0"/>
        <w:jc w:val="center"/>
        <w:rPr>
          <w:sz w:val="21"/>
        </w:rPr>
      </w:pPr>
      <w:r>
        <w:rPr>
          <w:spacing w:val="-1"/>
          <w:sz w:val="21"/>
        </w:rPr>
        <w:t>表 </w:t>
      </w:r>
      <w:r>
        <w:rPr>
          <w:sz w:val="21"/>
        </w:rPr>
        <w:t>2</w:t>
      </w:r>
      <w:r>
        <w:rPr>
          <w:spacing w:val="-2"/>
          <w:sz w:val="21"/>
        </w:rPr>
        <w:t> 核心技术指标对比表</w:t>
      </w:r>
      <w:r>
        <w:rPr>
          <w:sz w:val="21"/>
        </w:rPr>
        <w:t>（先进性）</w:t>
      </w:r>
    </w:p>
    <w:tbl>
      <w:tblPr>
        <w:tblW w:w="0" w:type="auto"/>
        <w:jc w:val="left"/>
        <w:tblInd w:w="140" w:type="dxa"/>
        <w:tblBorders>
          <w:top w:val="triple" w:sz="4" w:space="0" w:color="800000"/>
          <w:left w:val="triple" w:sz="4" w:space="0" w:color="800000"/>
          <w:bottom w:val="triple" w:sz="4" w:space="0" w:color="800000"/>
          <w:right w:val="triple" w:sz="4" w:space="0" w:color="800000"/>
          <w:insideH w:val="triple" w:sz="4" w:space="0" w:color="800000"/>
          <w:insideV w:val="triple" w:sz="4" w:space="0" w:color="800000"/>
        </w:tblBorders>
        <w:tblLayout w:type="fixed"/>
        <w:tblCellMar>
          <w:top w:w="0" w:type="dxa"/>
          <w:left w:w="0" w:type="dxa"/>
          <w:bottom w:w="0" w:type="dxa"/>
          <w:right w:w="0" w:type="dxa"/>
        </w:tblCellMar>
        <w:tblLook w:val="01E0"/>
      </w:tblPr>
      <w:tblGrid>
        <w:gridCol w:w="748"/>
        <w:gridCol w:w="1707"/>
        <w:gridCol w:w="800"/>
        <w:gridCol w:w="2149"/>
        <w:gridCol w:w="2397"/>
        <w:gridCol w:w="1758"/>
      </w:tblGrid>
      <w:tr>
        <w:trPr>
          <w:trHeight w:val="575" w:hRule="atLeast"/>
        </w:trPr>
        <w:tc>
          <w:tcPr>
            <w:tcW w:w="748" w:type="dxa"/>
            <w:tcBorders>
              <w:bottom w:val="single" w:sz="4" w:space="0" w:color="800000"/>
              <w:right w:val="single" w:sz="4" w:space="0" w:color="800000"/>
            </w:tcBorders>
          </w:tcPr>
          <w:p>
            <w:pPr>
              <w:pStyle w:val="TableParagraph"/>
              <w:spacing w:line="270" w:lineRule="atLeast" w:before="16"/>
              <w:ind w:left="143" w:right="152"/>
              <w:jc w:val="left"/>
              <w:rPr>
                <w:sz w:val="21"/>
              </w:rPr>
            </w:pPr>
            <w:r>
              <w:rPr>
                <w:spacing w:val="-2"/>
                <w:sz w:val="21"/>
              </w:rPr>
              <w:t>产品性能</w:t>
            </w:r>
          </w:p>
        </w:tc>
        <w:tc>
          <w:tcPr>
            <w:tcW w:w="1707" w:type="dxa"/>
            <w:tcBorders>
              <w:left w:val="single" w:sz="4" w:space="0" w:color="800000"/>
              <w:bottom w:val="single" w:sz="4" w:space="0" w:color="800000"/>
              <w:right w:val="single" w:sz="4" w:space="0" w:color="800000"/>
            </w:tcBorders>
          </w:tcPr>
          <w:p>
            <w:pPr>
              <w:pStyle w:val="TableParagraph"/>
              <w:spacing w:line="270" w:lineRule="atLeast" w:before="16"/>
              <w:ind w:left="747" w:right="102" w:hanging="629"/>
              <w:jc w:val="left"/>
              <w:rPr>
                <w:sz w:val="21"/>
              </w:rPr>
            </w:pPr>
            <w:r>
              <w:rPr>
                <w:sz w:val="21"/>
              </w:rPr>
              <w:t>产品核心技术要求</w:t>
            </w:r>
          </w:p>
        </w:tc>
        <w:tc>
          <w:tcPr>
            <w:tcW w:w="800" w:type="dxa"/>
            <w:tcBorders>
              <w:left w:val="single" w:sz="4" w:space="0" w:color="800000"/>
              <w:bottom w:val="single" w:sz="4" w:space="0" w:color="800000"/>
              <w:right w:val="single" w:sz="4" w:space="0" w:color="800000"/>
            </w:tcBorders>
          </w:tcPr>
          <w:p>
            <w:pPr>
              <w:pStyle w:val="TableParagraph"/>
              <w:spacing w:before="152"/>
              <w:ind w:left="90" w:right="81"/>
              <w:rPr>
                <w:sz w:val="21"/>
              </w:rPr>
            </w:pPr>
            <w:r>
              <w:rPr>
                <w:sz w:val="21"/>
              </w:rPr>
              <w:t>单位</w:t>
            </w:r>
          </w:p>
        </w:tc>
        <w:tc>
          <w:tcPr>
            <w:tcW w:w="2149" w:type="dxa"/>
            <w:tcBorders>
              <w:left w:val="single" w:sz="4" w:space="0" w:color="800000"/>
              <w:bottom w:val="single" w:sz="4" w:space="0" w:color="800000"/>
              <w:right w:val="single" w:sz="4" w:space="0" w:color="800000"/>
            </w:tcBorders>
          </w:tcPr>
          <w:p>
            <w:pPr>
              <w:pStyle w:val="TableParagraph"/>
              <w:spacing w:before="18"/>
              <w:ind w:left="108" w:right="96"/>
              <w:rPr>
                <w:sz w:val="21"/>
              </w:rPr>
            </w:pPr>
            <w:r>
              <w:rPr>
                <w:sz w:val="21"/>
              </w:rPr>
              <w:t>“浙江制造”标准</w:t>
            </w:r>
          </w:p>
          <w:p>
            <w:pPr>
              <w:pStyle w:val="TableParagraph"/>
              <w:spacing w:line="267" w:lineRule="exact" w:before="2"/>
              <w:ind w:left="108" w:right="98"/>
              <w:rPr>
                <w:sz w:val="21"/>
              </w:rPr>
            </w:pPr>
            <w:r>
              <w:rPr>
                <w:sz w:val="21"/>
              </w:rPr>
              <w:t>（万得福）</w:t>
            </w:r>
          </w:p>
        </w:tc>
        <w:tc>
          <w:tcPr>
            <w:tcW w:w="2397" w:type="dxa"/>
            <w:tcBorders>
              <w:left w:val="single" w:sz="4" w:space="0" w:color="800000"/>
              <w:bottom w:val="single" w:sz="4" w:space="0" w:color="800000"/>
              <w:right w:val="single" w:sz="4" w:space="0" w:color="800000"/>
            </w:tcBorders>
          </w:tcPr>
          <w:p>
            <w:pPr>
              <w:pStyle w:val="TableParagraph"/>
              <w:spacing w:before="18"/>
              <w:ind w:left="229" w:right="217"/>
              <w:rPr>
                <w:sz w:val="21"/>
              </w:rPr>
            </w:pPr>
            <w:r>
              <w:rPr>
                <w:w w:val="95"/>
                <w:sz w:val="21"/>
              </w:rPr>
              <w:t>行业标准</w:t>
            </w:r>
          </w:p>
          <w:p>
            <w:pPr>
              <w:pStyle w:val="TableParagraph"/>
              <w:spacing w:line="267" w:lineRule="exact" w:before="2"/>
              <w:ind w:left="236" w:right="217"/>
              <w:rPr>
                <w:sz w:val="21"/>
              </w:rPr>
            </w:pPr>
            <w:r>
              <w:rPr>
                <w:sz w:val="21"/>
              </w:rPr>
              <w:t>（YY/T</w:t>
            </w:r>
            <w:r>
              <w:rPr>
                <w:spacing w:val="4"/>
                <w:sz w:val="21"/>
              </w:rPr>
              <w:t> </w:t>
            </w:r>
            <w:r>
              <w:rPr>
                <w:sz w:val="21"/>
              </w:rPr>
              <w:t>0969-2013）</w:t>
            </w:r>
          </w:p>
        </w:tc>
        <w:tc>
          <w:tcPr>
            <w:tcW w:w="1758" w:type="dxa"/>
            <w:tcBorders>
              <w:left w:val="single" w:sz="4" w:space="0" w:color="800000"/>
              <w:bottom w:val="single" w:sz="4" w:space="0" w:color="800000"/>
            </w:tcBorders>
          </w:tcPr>
          <w:p>
            <w:pPr>
              <w:pStyle w:val="TableParagraph"/>
              <w:spacing w:before="152"/>
              <w:ind w:left="562"/>
              <w:jc w:val="left"/>
              <w:rPr>
                <w:sz w:val="21"/>
              </w:rPr>
            </w:pPr>
            <w:r>
              <w:rPr>
                <w:w w:val="95"/>
                <w:sz w:val="21"/>
              </w:rPr>
              <w:t>先进性</w:t>
            </w:r>
          </w:p>
        </w:tc>
      </w:tr>
      <w:tr>
        <w:trPr>
          <w:trHeight w:val="965" w:hRule="atLeast"/>
        </w:trPr>
        <w:tc>
          <w:tcPr>
            <w:tcW w:w="748" w:type="dxa"/>
            <w:tcBorders>
              <w:top w:val="single" w:sz="4" w:space="0" w:color="800000"/>
              <w:bottom w:val="single" w:sz="4" w:space="0" w:color="800000"/>
              <w:right w:val="single" w:sz="4" w:space="0" w:color="800000"/>
            </w:tcBorders>
          </w:tcPr>
          <w:p>
            <w:pPr>
              <w:pStyle w:val="TableParagraph"/>
              <w:spacing w:before="11"/>
              <w:jc w:val="left"/>
              <w:rPr>
                <w:sz w:val="14"/>
              </w:rPr>
            </w:pPr>
          </w:p>
          <w:p>
            <w:pPr>
              <w:pStyle w:val="TableParagraph"/>
              <w:spacing w:line="278" w:lineRule="auto" w:before="0"/>
              <w:ind w:left="248" w:right="152" w:hanging="106"/>
              <w:jc w:val="left"/>
              <w:rPr>
                <w:sz w:val="21"/>
              </w:rPr>
            </w:pPr>
            <w:r>
              <w:rPr>
                <w:spacing w:val="-2"/>
                <w:sz w:val="21"/>
              </w:rPr>
              <w:t>实用</w:t>
            </w:r>
            <w:r>
              <w:rPr>
                <w:sz w:val="21"/>
              </w:rPr>
              <w:t>性</w:t>
            </w:r>
          </w:p>
        </w:tc>
        <w:tc>
          <w:tcPr>
            <w:tcW w:w="1707" w:type="dxa"/>
            <w:tcBorders>
              <w:top w:val="single" w:sz="4" w:space="0" w:color="800000"/>
              <w:left w:val="single" w:sz="4" w:space="0" w:color="800000"/>
              <w:bottom w:val="single" w:sz="4" w:space="0" w:color="800000"/>
              <w:right w:val="single" w:sz="4" w:space="0" w:color="800000"/>
            </w:tcBorders>
          </w:tcPr>
          <w:p>
            <w:pPr>
              <w:pStyle w:val="TableParagraph"/>
              <w:spacing w:before="34"/>
              <w:ind w:left="118"/>
              <w:jc w:val="left"/>
              <w:rPr>
                <w:sz w:val="21"/>
              </w:rPr>
            </w:pPr>
            <w:r>
              <w:rPr>
                <w:sz w:val="21"/>
              </w:rPr>
              <w:t>口罩带及口罩带</w:t>
            </w:r>
          </w:p>
          <w:p>
            <w:pPr>
              <w:pStyle w:val="TableParagraph"/>
              <w:spacing w:line="310" w:lineRule="atLeast" w:before="2"/>
              <w:ind w:left="327" w:right="107" w:hanging="209"/>
              <w:jc w:val="left"/>
              <w:rPr>
                <w:sz w:val="21"/>
              </w:rPr>
            </w:pPr>
            <w:r>
              <w:rPr>
                <w:spacing w:val="-1"/>
                <w:sz w:val="21"/>
              </w:rPr>
              <w:t>与口罩体的连接</w:t>
            </w:r>
            <w:r>
              <w:rPr>
                <w:sz w:val="21"/>
              </w:rPr>
              <w:t>处断裂强力</w:t>
            </w:r>
          </w:p>
        </w:tc>
        <w:tc>
          <w:tcPr>
            <w:tcW w:w="800" w:type="dxa"/>
            <w:tcBorders>
              <w:top w:val="single" w:sz="4" w:space="0" w:color="800000"/>
              <w:left w:val="single" w:sz="4" w:space="0" w:color="800000"/>
              <w:bottom w:val="single" w:sz="4" w:space="0" w:color="800000"/>
              <w:right w:val="single" w:sz="4" w:space="0" w:color="800000"/>
            </w:tcBorders>
          </w:tcPr>
          <w:p>
            <w:pPr>
              <w:pStyle w:val="TableParagraph"/>
              <w:spacing w:before="0"/>
              <w:jc w:val="left"/>
              <w:rPr>
                <w:sz w:val="27"/>
              </w:rPr>
            </w:pPr>
          </w:p>
          <w:p>
            <w:pPr>
              <w:pStyle w:val="TableParagraph"/>
              <w:spacing w:before="0"/>
              <w:ind w:left="6"/>
              <w:rPr>
                <w:sz w:val="21"/>
              </w:rPr>
            </w:pPr>
            <w:r>
              <w:rPr>
                <w:w w:val="99"/>
                <w:sz w:val="21"/>
              </w:rPr>
              <w:t>N</w:t>
            </w:r>
          </w:p>
        </w:tc>
        <w:tc>
          <w:tcPr>
            <w:tcW w:w="2149" w:type="dxa"/>
            <w:tcBorders>
              <w:top w:val="single" w:sz="4" w:space="0" w:color="800000"/>
              <w:left w:val="single" w:sz="4" w:space="0" w:color="800000"/>
              <w:bottom w:val="single" w:sz="4" w:space="0" w:color="800000"/>
              <w:right w:val="single" w:sz="4" w:space="0" w:color="800000"/>
            </w:tcBorders>
          </w:tcPr>
          <w:p>
            <w:pPr>
              <w:pStyle w:val="TableParagraph"/>
              <w:spacing w:before="0"/>
              <w:jc w:val="left"/>
              <w:rPr>
                <w:sz w:val="27"/>
              </w:rPr>
            </w:pPr>
          </w:p>
          <w:p>
            <w:pPr>
              <w:pStyle w:val="TableParagraph"/>
              <w:spacing w:before="0"/>
              <w:ind w:left="108" w:right="99"/>
              <w:rPr>
                <w:sz w:val="21"/>
              </w:rPr>
            </w:pPr>
            <w:r>
              <w:rPr>
                <w:sz w:val="21"/>
              </w:rPr>
              <w:t>20</w:t>
            </w:r>
          </w:p>
        </w:tc>
        <w:tc>
          <w:tcPr>
            <w:tcW w:w="2397" w:type="dxa"/>
            <w:tcBorders>
              <w:top w:val="single" w:sz="4" w:space="0" w:color="800000"/>
              <w:left w:val="single" w:sz="4" w:space="0" w:color="800000"/>
              <w:bottom w:val="single" w:sz="4" w:space="0" w:color="800000"/>
              <w:right w:val="single" w:sz="4" w:space="0" w:color="800000"/>
            </w:tcBorders>
          </w:tcPr>
          <w:p>
            <w:pPr>
              <w:pStyle w:val="TableParagraph"/>
              <w:spacing w:before="0"/>
              <w:jc w:val="left"/>
              <w:rPr>
                <w:sz w:val="27"/>
              </w:rPr>
            </w:pPr>
          </w:p>
          <w:p>
            <w:pPr>
              <w:pStyle w:val="TableParagraph"/>
              <w:spacing w:before="0"/>
              <w:ind w:left="225" w:right="217"/>
              <w:rPr>
                <w:sz w:val="21"/>
              </w:rPr>
            </w:pPr>
            <w:r>
              <w:rPr>
                <w:sz w:val="21"/>
              </w:rPr>
              <w:t>10</w:t>
            </w:r>
          </w:p>
        </w:tc>
        <w:tc>
          <w:tcPr>
            <w:tcW w:w="1758" w:type="dxa"/>
            <w:tcBorders>
              <w:top w:val="single" w:sz="4" w:space="0" w:color="800000"/>
              <w:left w:val="single" w:sz="4" w:space="0" w:color="800000"/>
              <w:bottom w:val="single" w:sz="4" w:space="0" w:color="800000"/>
            </w:tcBorders>
          </w:tcPr>
          <w:p>
            <w:pPr>
              <w:pStyle w:val="TableParagraph"/>
              <w:spacing w:before="34"/>
              <w:ind w:left="106"/>
              <w:jc w:val="left"/>
              <w:rPr>
                <w:sz w:val="21"/>
              </w:rPr>
            </w:pPr>
            <w:r>
              <w:rPr>
                <w:spacing w:val="-18"/>
                <w:w w:val="95"/>
                <w:sz w:val="21"/>
              </w:rPr>
              <w:t>使 口 罩 带 更 牢</w:t>
            </w:r>
          </w:p>
          <w:p>
            <w:pPr>
              <w:pStyle w:val="TableParagraph"/>
              <w:spacing w:line="310" w:lineRule="atLeast" w:before="2"/>
              <w:ind w:left="106" w:right="78"/>
              <w:jc w:val="left"/>
              <w:rPr>
                <w:sz w:val="21"/>
              </w:rPr>
            </w:pPr>
            <w:r>
              <w:rPr>
                <w:spacing w:val="9"/>
                <w:sz w:val="21"/>
              </w:rPr>
              <w:t>固，不易滑脱或</w:t>
            </w:r>
            <w:r>
              <w:rPr>
                <w:sz w:val="21"/>
              </w:rPr>
              <w:t>断裂</w:t>
            </w:r>
          </w:p>
        </w:tc>
      </w:tr>
      <w:tr>
        <w:trPr>
          <w:trHeight w:val="654" w:hRule="atLeast"/>
        </w:trPr>
        <w:tc>
          <w:tcPr>
            <w:tcW w:w="748" w:type="dxa"/>
            <w:tcBorders>
              <w:top w:val="single" w:sz="4" w:space="0" w:color="800000"/>
              <w:bottom w:val="single" w:sz="4" w:space="0" w:color="800000"/>
              <w:right w:val="single" w:sz="4" w:space="0" w:color="800000"/>
            </w:tcBorders>
          </w:tcPr>
          <w:p>
            <w:pPr>
              <w:pStyle w:val="TableParagraph"/>
              <w:spacing w:before="35"/>
              <w:ind w:left="124" w:right="133"/>
              <w:rPr>
                <w:sz w:val="21"/>
              </w:rPr>
            </w:pPr>
            <w:r>
              <w:rPr>
                <w:sz w:val="21"/>
              </w:rPr>
              <w:t>舒适</w:t>
            </w:r>
          </w:p>
          <w:p>
            <w:pPr>
              <w:pStyle w:val="TableParagraph"/>
              <w:spacing w:before="43"/>
              <w:ind w:right="9"/>
              <w:rPr>
                <w:sz w:val="21"/>
              </w:rPr>
            </w:pPr>
            <w:r>
              <w:rPr>
                <w:w w:val="99"/>
                <w:sz w:val="21"/>
              </w:rPr>
              <w:t>性</w:t>
            </w:r>
          </w:p>
        </w:tc>
        <w:tc>
          <w:tcPr>
            <w:tcW w:w="1707" w:type="dxa"/>
            <w:tcBorders>
              <w:top w:val="single" w:sz="4" w:space="0" w:color="800000"/>
              <w:left w:val="single" w:sz="4" w:space="0" w:color="800000"/>
              <w:bottom w:val="single" w:sz="4" w:space="0" w:color="800000"/>
              <w:right w:val="single" w:sz="4" w:space="0" w:color="800000"/>
            </w:tcBorders>
          </w:tcPr>
          <w:p>
            <w:pPr>
              <w:pStyle w:val="TableParagraph"/>
              <w:spacing w:before="12"/>
              <w:jc w:val="left"/>
              <w:rPr>
                <w:sz w:val="14"/>
              </w:rPr>
            </w:pPr>
          </w:p>
          <w:p>
            <w:pPr>
              <w:pStyle w:val="TableParagraph"/>
              <w:spacing w:before="0"/>
              <w:ind w:left="306" w:right="300"/>
              <w:rPr>
                <w:sz w:val="21"/>
              </w:rPr>
            </w:pPr>
            <w:r>
              <w:rPr>
                <w:sz w:val="21"/>
              </w:rPr>
              <w:t>通气阻力</w:t>
            </w:r>
          </w:p>
        </w:tc>
        <w:tc>
          <w:tcPr>
            <w:tcW w:w="800" w:type="dxa"/>
            <w:tcBorders>
              <w:top w:val="single" w:sz="4" w:space="0" w:color="800000"/>
              <w:left w:val="single" w:sz="4" w:space="0" w:color="800000"/>
              <w:bottom w:val="single" w:sz="4" w:space="0" w:color="800000"/>
              <w:right w:val="single" w:sz="4" w:space="0" w:color="800000"/>
            </w:tcBorders>
          </w:tcPr>
          <w:p>
            <w:pPr>
              <w:pStyle w:val="TableParagraph"/>
              <w:spacing w:before="191"/>
              <w:ind w:left="90" w:right="81"/>
              <w:rPr>
                <w:sz w:val="10"/>
              </w:rPr>
            </w:pPr>
            <w:r>
              <w:rPr>
                <w:spacing w:val="1"/>
                <w:w w:val="99"/>
                <w:sz w:val="21"/>
              </w:rPr>
              <w:t>Pa/</w:t>
            </w:r>
            <w:r>
              <w:rPr>
                <w:spacing w:val="-2"/>
                <w:w w:val="99"/>
                <w:sz w:val="21"/>
              </w:rPr>
              <w:t>c</w:t>
            </w:r>
            <w:r>
              <w:rPr>
                <w:spacing w:val="1"/>
                <w:w w:val="99"/>
                <w:sz w:val="21"/>
              </w:rPr>
              <w:t>m</w:t>
            </w:r>
            <w:r>
              <w:rPr>
                <w:w w:val="106"/>
                <w:position w:val="11"/>
                <w:sz w:val="10"/>
              </w:rPr>
              <w:t>2</w:t>
            </w:r>
          </w:p>
        </w:tc>
        <w:tc>
          <w:tcPr>
            <w:tcW w:w="2149" w:type="dxa"/>
            <w:tcBorders>
              <w:top w:val="single" w:sz="4" w:space="0" w:color="800000"/>
              <w:left w:val="single" w:sz="4" w:space="0" w:color="800000"/>
              <w:bottom w:val="single" w:sz="4" w:space="0" w:color="800000"/>
              <w:right w:val="single" w:sz="4" w:space="0" w:color="800000"/>
            </w:tcBorders>
          </w:tcPr>
          <w:p>
            <w:pPr>
              <w:pStyle w:val="TableParagraph"/>
              <w:spacing w:before="12"/>
              <w:jc w:val="left"/>
              <w:rPr>
                <w:sz w:val="14"/>
              </w:rPr>
            </w:pPr>
          </w:p>
          <w:p>
            <w:pPr>
              <w:pStyle w:val="TableParagraph"/>
              <w:spacing w:before="0"/>
              <w:ind w:left="108" w:right="99"/>
              <w:rPr>
                <w:sz w:val="21"/>
              </w:rPr>
            </w:pPr>
            <w:r>
              <w:rPr>
                <w:sz w:val="21"/>
              </w:rPr>
              <w:t>≤45</w:t>
            </w:r>
          </w:p>
        </w:tc>
        <w:tc>
          <w:tcPr>
            <w:tcW w:w="2397" w:type="dxa"/>
            <w:tcBorders>
              <w:top w:val="single" w:sz="4" w:space="0" w:color="800000"/>
              <w:left w:val="single" w:sz="4" w:space="0" w:color="800000"/>
              <w:bottom w:val="single" w:sz="4" w:space="0" w:color="800000"/>
              <w:right w:val="single" w:sz="4" w:space="0" w:color="800000"/>
            </w:tcBorders>
          </w:tcPr>
          <w:p>
            <w:pPr>
              <w:pStyle w:val="TableParagraph"/>
              <w:spacing w:before="12"/>
              <w:jc w:val="left"/>
              <w:rPr>
                <w:sz w:val="14"/>
              </w:rPr>
            </w:pPr>
          </w:p>
          <w:p>
            <w:pPr>
              <w:pStyle w:val="TableParagraph"/>
              <w:spacing w:before="0"/>
              <w:ind w:left="225" w:right="217"/>
              <w:rPr>
                <w:sz w:val="21"/>
              </w:rPr>
            </w:pPr>
            <w:r>
              <w:rPr>
                <w:sz w:val="21"/>
              </w:rPr>
              <w:t>≤49</w:t>
            </w:r>
          </w:p>
        </w:tc>
        <w:tc>
          <w:tcPr>
            <w:tcW w:w="1758" w:type="dxa"/>
            <w:tcBorders>
              <w:top w:val="single" w:sz="4" w:space="0" w:color="800000"/>
              <w:left w:val="single" w:sz="4" w:space="0" w:color="800000"/>
              <w:bottom w:val="single" w:sz="4" w:space="0" w:color="800000"/>
            </w:tcBorders>
          </w:tcPr>
          <w:p>
            <w:pPr>
              <w:pStyle w:val="TableParagraph"/>
              <w:spacing w:before="35"/>
              <w:ind w:left="106"/>
              <w:jc w:val="left"/>
              <w:rPr>
                <w:sz w:val="21"/>
              </w:rPr>
            </w:pPr>
            <w:r>
              <w:rPr>
                <w:spacing w:val="9"/>
                <w:sz w:val="21"/>
              </w:rPr>
              <w:t>提升消费者佩戴</w:t>
            </w:r>
          </w:p>
          <w:p>
            <w:pPr>
              <w:pStyle w:val="TableParagraph"/>
              <w:spacing w:before="43"/>
              <w:ind w:left="106"/>
              <w:jc w:val="left"/>
              <w:rPr>
                <w:sz w:val="21"/>
              </w:rPr>
            </w:pPr>
            <w:r>
              <w:rPr>
                <w:sz w:val="21"/>
              </w:rPr>
              <w:t>体验</w:t>
            </w:r>
          </w:p>
        </w:tc>
      </w:tr>
      <w:tr>
        <w:trPr>
          <w:trHeight w:val="1570" w:hRule="atLeast"/>
        </w:trPr>
        <w:tc>
          <w:tcPr>
            <w:tcW w:w="748" w:type="dxa"/>
            <w:vMerge w:val="restart"/>
            <w:tcBorders>
              <w:top w:val="single" w:sz="4" w:space="0" w:color="800000"/>
              <w:right w:val="single" w:sz="4" w:space="0" w:color="800000"/>
            </w:tcBorders>
          </w:tcPr>
          <w:p>
            <w:pPr>
              <w:pStyle w:val="TableParagraph"/>
              <w:spacing w:before="0"/>
              <w:jc w:val="left"/>
              <w:rPr>
                <w:sz w:val="20"/>
              </w:rPr>
            </w:pPr>
          </w:p>
          <w:p>
            <w:pPr>
              <w:pStyle w:val="TableParagraph"/>
              <w:spacing w:before="0"/>
              <w:jc w:val="left"/>
              <w:rPr>
                <w:sz w:val="20"/>
              </w:rPr>
            </w:pPr>
          </w:p>
          <w:p>
            <w:pPr>
              <w:pStyle w:val="TableParagraph"/>
              <w:spacing w:before="2"/>
              <w:jc w:val="left"/>
              <w:rPr>
                <w:sz w:val="25"/>
              </w:rPr>
            </w:pPr>
          </w:p>
          <w:p>
            <w:pPr>
              <w:pStyle w:val="TableParagraph"/>
              <w:spacing w:line="278" w:lineRule="auto" w:before="0"/>
              <w:ind w:left="248" w:right="152" w:hanging="106"/>
              <w:jc w:val="left"/>
              <w:rPr>
                <w:sz w:val="21"/>
              </w:rPr>
            </w:pPr>
            <w:r>
              <w:rPr>
                <w:spacing w:val="-2"/>
                <w:sz w:val="21"/>
              </w:rPr>
              <w:t>安全</w:t>
            </w:r>
            <w:r>
              <w:rPr>
                <w:sz w:val="21"/>
              </w:rPr>
              <w:t>性</w:t>
            </w:r>
          </w:p>
        </w:tc>
        <w:tc>
          <w:tcPr>
            <w:tcW w:w="1707" w:type="dxa"/>
            <w:tcBorders>
              <w:top w:val="single" w:sz="4" w:space="0" w:color="800000"/>
              <w:left w:val="single" w:sz="4" w:space="0" w:color="800000"/>
              <w:bottom w:val="single" w:sz="4" w:space="0" w:color="800000"/>
              <w:right w:val="single" w:sz="4" w:space="0" w:color="800000"/>
            </w:tcBorders>
          </w:tcPr>
          <w:p>
            <w:pPr>
              <w:pStyle w:val="TableParagraph"/>
              <w:spacing w:before="0"/>
              <w:jc w:val="left"/>
              <w:rPr>
                <w:sz w:val="20"/>
              </w:rPr>
            </w:pPr>
          </w:p>
          <w:p>
            <w:pPr>
              <w:pStyle w:val="TableParagraph"/>
              <w:spacing w:before="0"/>
              <w:jc w:val="left"/>
              <w:rPr>
                <w:sz w:val="20"/>
              </w:rPr>
            </w:pPr>
          </w:p>
          <w:p>
            <w:pPr>
              <w:pStyle w:val="TableParagraph"/>
              <w:spacing w:before="147"/>
              <w:ind w:left="306" w:right="300"/>
              <w:rPr>
                <w:sz w:val="21"/>
              </w:rPr>
            </w:pPr>
            <w:r>
              <w:rPr>
                <w:sz w:val="21"/>
              </w:rPr>
              <w:t>微生物指标</w:t>
            </w:r>
          </w:p>
        </w:tc>
        <w:tc>
          <w:tcPr>
            <w:tcW w:w="800" w:type="dxa"/>
            <w:tcBorders>
              <w:top w:val="single" w:sz="4" w:space="0" w:color="800000"/>
              <w:left w:val="single" w:sz="4" w:space="0" w:color="800000"/>
              <w:bottom w:val="single" w:sz="4" w:space="0" w:color="800000"/>
              <w:right w:val="single" w:sz="4" w:space="0" w:color="800000"/>
            </w:tcBorders>
          </w:tcPr>
          <w:p>
            <w:pPr>
              <w:pStyle w:val="TableParagraph"/>
              <w:spacing w:before="0"/>
              <w:jc w:val="left"/>
              <w:rPr>
                <w:sz w:val="20"/>
              </w:rPr>
            </w:pPr>
          </w:p>
          <w:p>
            <w:pPr>
              <w:pStyle w:val="TableParagraph"/>
              <w:spacing w:before="0"/>
              <w:jc w:val="left"/>
              <w:rPr>
                <w:sz w:val="20"/>
              </w:rPr>
            </w:pPr>
          </w:p>
          <w:p>
            <w:pPr>
              <w:pStyle w:val="TableParagraph"/>
              <w:spacing w:before="147"/>
              <w:ind w:left="89" w:right="81"/>
              <w:rPr>
                <w:sz w:val="21"/>
              </w:rPr>
            </w:pPr>
            <w:r>
              <w:rPr>
                <w:sz w:val="21"/>
              </w:rPr>
              <w:t>CFU/g</w:t>
            </w:r>
          </w:p>
        </w:tc>
        <w:tc>
          <w:tcPr>
            <w:tcW w:w="2149" w:type="dxa"/>
            <w:tcBorders>
              <w:top w:val="single" w:sz="4" w:space="0" w:color="800000"/>
              <w:left w:val="single" w:sz="4" w:space="0" w:color="800000"/>
              <w:bottom w:val="single" w:sz="4" w:space="0" w:color="800000"/>
              <w:right w:val="single" w:sz="4" w:space="0" w:color="800000"/>
            </w:tcBorders>
          </w:tcPr>
          <w:p>
            <w:pPr>
              <w:pStyle w:val="TableParagraph"/>
              <w:spacing w:line="278" w:lineRule="auto" w:before="36"/>
              <w:ind w:left="107" w:right="-15" w:firstLine="21"/>
              <w:jc w:val="left"/>
              <w:rPr>
                <w:sz w:val="21"/>
              </w:rPr>
            </w:pPr>
            <w:r>
              <w:rPr>
                <w:sz w:val="21"/>
              </w:rPr>
              <w:t>细菌菌落总数≤30；</w:t>
            </w:r>
            <w:r>
              <w:rPr>
                <w:spacing w:val="1"/>
                <w:sz w:val="21"/>
              </w:rPr>
              <w:t> </w:t>
            </w:r>
            <w:r>
              <w:rPr>
                <w:spacing w:val="-8"/>
                <w:w w:val="95"/>
                <w:sz w:val="21"/>
              </w:rPr>
              <w:t>大肠菌群、绿脓杆菌、</w:t>
            </w:r>
            <w:r>
              <w:rPr>
                <w:sz w:val="21"/>
              </w:rPr>
              <w:t>金黄色葡萄球菌、溶血性链球菌、真菌菌</w:t>
            </w:r>
          </w:p>
          <w:p>
            <w:pPr>
              <w:pStyle w:val="TableParagraph"/>
              <w:spacing w:line="265" w:lineRule="exact" w:before="0"/>
              <w:ind w:left="337"/>
              <w:jc w:val="left"/>
              <w:rPr>
                <w:sz w:val="21"/>
              </w:rPr>
            </w:pPr>
            <w:r>
              <w:rPr>
                <w:sz w:val="21"/>
              </w:rPr>
              <w:t>落总数不得检出</w:t>
            </w:r>
          </w:p>
        </w:tc>
        <w:tc>
          <w:tcPr>
            <w:tcW w:w="2397" w:type="dxa"/>
            <w:tcBorders>
              <w:top w:val="single" w:sz="4" w:space="0" w:color="800000"/>
              <w:left w:val="single" w:sz="4" w:space="0" w:color="800000"/>
              <w:bottom w:val="single" w:sz="4" w:space="0" w:color="800000"/>
              <w:right w:val="single" w:sz="4" w:space="0" w:color="800000"/>
            </w:tcBorders>
          </w:tcPr>
          <w:p>
            <w:pPr>
              <w:pStyle w:val="TableParagraph"/>
              <w:spacing w:line="278" w:lineRule="auto" w:before="36"/>
              <w:ind w:left="147" w:right="96" w:hanging="39"/>
              <w:jc w:val="both"/>
              <w:rPr>
                <w:sz w:val="21"/>
              </w:rPr>
            </w:pPr>
            <w:r>
              <w:rPr>
                <w:spacing w:val="-3"/>
                <w:sz w:val="21"/>
              </w:rPr>
              <w:t>细菌菌落总数≤</w:t>
            </w:r>
            <w:r>
              <w:rPr>
                <w:spacing w:val="-2"/>
                <w:sz w:val="21"/>
              </w:rPr>
              <w:t>100；大</w:t>
            </w:r>
            <w:r>
              <w:rPr>
                <w:sz w:val="21"/>
              </w:rPr>
              <w:t>肠菌群、绿脓杆菌、金黄色葡萄球菌、溶血性链球菌、真菌菌落总数</w:t>
            </w:r>
          </w:p>
          <w:p>
            <w:pPr>
              <w:pStyle w:val="TableParagraph"/>
              <w:spacing w:line="265" w:lineRule="exact" w:before="0"/>
              <w:ind w:left="778"/>
              <w:jc w:val="left"/>
              <w:rPr>
                <w:sz w:val="21"/>
              </w:rPr>
            </w:pPr>
            <w:r>
              <w:rPr>
                <w:sz w:val="21"/>
              </w:rPr>
              <w:t>不得检出</w:t>
            </w:r>
          </w:p>
        </w:tc>
        <w:tc>
          <w:tcPr>
            <w:tcW w:w="1758" w:type="dxa"/>
            <w:tcBorders>
              <w:top w:val="single" w:sz="4" w:space="0" w:color="800000"/>
              <w:left w:val="single" w:sz="4" w:space="0" w:color="800000"/>
              <w:bottom w:val="single" w:sz="4" w:space="0" w:color="800000"/>
            </w:tcBorders>
          </w:tcPr>
          <w:p>
            <w:pPr>
              <w:pStyle w:val="TableParagraph"/>
              <w:spacing w:before="0"/>
              <w:jc w:val="left"/>
              <w:rPr>
                <w:sz w:val="20"/>
              </w:rPr>
            </w:pPr>
          </w:p>
          <w:p>
            <w:pPr>
              <w:pStyle w:val="TableParagraph"/>
              <w:spacing w:before="4"/>
              <w:jc w:val="left"/>
              <w:rPr>
                <w:sz w:val="19"/>
              </w:rPr>
            </w:pPr>
          </w:p>
          <w:p>
            <w:pPr>
              <w:pStyle w:val="TableParagraph"/>
              <w:spacing w:line="278" w:lineRule="auto" w:before="0"/>
              <w:ind w:left="106" w:right="78"/>
              <w:jc w:val="left"/>
              <w:rPr>
                <w:sz w:val="21"/>
              </w:rPr>
            </w:pPr>
            <w:r>
              <w:rPr>
                <w:spacing w:val="9"/>
                <w:sz w:val="21"/>
              </w:rPr>
              <w:t>降低的口罩微生</w:t>
            </w:r>
            <w:r>
              <w:rPr>
                <w:sz w:val="21"/>
              </w:rPr>
              <w:t>物污染</w:t>
            </w:r>
          </w:p>
        </w:tc>
      </w:tr>
      <w:tr>
        <w:trPr>
          <w:trHeight w:val="633" w:hRule="atLeast"/>
        </w:trPr>
        <w:tc>
          <w:tcPr>
            <w:tcW w:w="748" w:type="dxa"/>
            <w:vMerge/>
            <w:tcBorders>
              <w:top w:val="nil"/>
              <w:right w:val="single" w:sz="4" w:space="0" w:color="800000"/>
            </w:tcBorders>
          </w:tcPr>
          <w:p>
            <w:pPr>
              <w:rPr>
                <w:sz w:val="2"/>
                <w:szCs w:val="2"/>
              </w:rPr>
            </w:pPr>
          </w:p>
        </w:tc>
        <w:tc>
          <w:tcPr>
            <w:tcW w:w="1707" w:type="dxa"/>
            <w:tcBorders>
              <w:top w:val="single" w:sz="4" w:space="0" w:color="800000"/>
              <w:left w:val="single" w:sz="4" w:space="0" w:color="800000"/>
              <w:right w:val="single" w:sz="4" w:space="0" w:color="800000"/>
            </w:tcBorders>
          </w:tcPr>
          <w:p>
            <w:pPr>
              <w:pStyle w:val="TableParagraph"/>
              <w:spacing w:before="170"/>
              <w:ind w:left="306" w:right="298"/>
              <w:rPr>
                <w:sz w:val="21"/>
              </w:rPr>
            </w:pPr>
            <w:r>
              <w:rPr>
                <w:sz w:val="21"/>
              </w:rPr>
              <w:t>阻燃性</w:t>
            </w:r>
          </w:p>
        </w:tc>
        <w:tc>
          <w:tcPr>
            <w:tcW w:w="800" w:type="dxa"/>
            <w:tcBorders>
              <w:top w:val="single" w:sz="4" w:space="0" w:color="800000"/>
              <w:left w:val="single" w:sz="4" w:space="0" w:color="800000"/>
              <w:right w:val="single" w:sz="4" w:space="0" w:color="800000"/>
            </w:tcBorders>
          </w:tcPr>
          <w:p>
            <w:pPr>
              <w:pStyle w:val="TableParagraph"/>
              <w:spacing w:before="170"/>
              <w:ind w:left="6"/>
              <w:rPr>
                <w:sz w:val="21"/>
              </w:rPr>
            </w:pPr>
            <w:r>
              <w:rPr>
                <w:w w:val="99"/>
                <w:sz w:val="21"/>
              </w:rPr>
              <w:t>s</w:t>
            </w:r>
          </w:p>
        </w:tc>
        <w:tc>
          <w:tcPr>
            <w:tcW w:w="2149" w:type="dxa"/>
            <w:tcBorders>
              <w:top w:val="single" w:sz="4" w:space="0" w:color="800000"/>
              <w:left w:val="single" w:sz="4" w:space="0" w:color="800000"/>
              <w:right w:val="single" w:sz="4" w:space="0" w:color="800000"/>
            </w:tcBorders>
          </w:tcPr>
          <w:p>
            <w:pPr>
              <w:pStyle w:val="TableParagraph"/>
              <w:spacing w:before="14"/>
              <w:ind w:left="108" w:right="101"/>
              <w:rPr>
                <w:sz w:val="21"/>
              </w:rPr>
            </w:pPr>
            <w:r>
              <w:rPr>
                <w:sz w:val="21"/>
              </w:rPr>
              <w:t>口罩离开火焰后燃烧</w:t>
            </w:r>
          </w:p>
          <w:p>
            <w:pPr>
              <w:pStyle w:val="TableParagraph"/>
              <w:spacing w:before="43"/>
              <w:ind w:left="108" w:right="99"/>
              <w:rPr>
                <w:sz w:val="21"/>
              </w:rPr>
            </w:pPr>
            <w:r>
              <w:rPr>
                <w:spacing w:val="-10"/>
                <w:w w:val="95"/>
                <w:sz w:val="21"/>
              </w:rPr>
              <w:t>不大于 </w:t>
            </w:r>
            <w:r>
              <w:rPr>
                <w:w w:val="95"/>
                <w:sz w:val="21"/>
              </w:rPr>
              <w:t>5</w:t>
            </w:r>
            <w:r>
              <w:rPr>
                <w:spacing w:val="24"/>
                <w:w w:val="95"/>
                <w:sz w:val="21"/>
              </w:rPr>
              <w:t> </w:t>
            </w:r>
            <w:r>
              <w:rPr>
                <w:w w:val="95"/>
                <w:sz w:val="21"/>
              </w:rPr>
              <w:t>s</w:t>
            </w:r>
          </w:p>
        </w:tc>
        <w:tc>
          <w:tcPr>
            <w:tcW w:w="2397" w:type="dxa"/>
            <w:tcBorders>
              <w:top w:val="single" w:sz="4" w:space="0" w:color="800000"/>
              <w:left w:val="single" w:sz="4" w:space="0" w:color="800000"/>
              <w:right w:val="single" w:sz="4" w:space="0" w:color="800000"/>
            </w:tcBorders>
          </w:tcPr>
          <w:p>
            <w:pPr>
              <w:pStyle w:val="TableParagraph"/>
              <w:spacing w:before="170"/>
              <w:ind w:left="8"/>
              <w:rPr>
                <w:sz w:val="21"/>
              </w:rPr>
            </w:pPr>
            <w:r>
              <w:rPr>
                <w:w w:val="99"/>
                <w:sz w:val="21"/>
              </w:rPr>
              <w:t>/</w:t>
            </w:r>
          </w:p>
        </w:tc>
        <w:tc>
          <w:tcPr>
            <w:tcW w:w="1758" w:type="dxa"/>
            <w:tcBorders>
              <w:top w:val="single" w:sz="4" w:space="0" w:color="800000"/>
              <w:left w:val="single" w:sz="4" w:space="0" w:color="800000"/>
            </w:tcBorders>
          </w:tcPr>
          <w:p>
            <w:pPr>
              <w:pStyle w:val="TableParagraph"/>
              <w:spacing w:before="14"/>
              <w:ind w:left="106"/>
              <w:jc w:val="left"/>
              <w:rPr>
                <w:sz w:val="21"/>
              </w:rPr>
            </w:pPr>
            <w:r>
              <w:rPr>
                <w:spacing w:val="9"/>
                <w:sz w:val="21"/>
              </w:rPr>
              <w:t>降低意外点燃时</w:t>
            </w:r>
          </w:p>
          <w:p>
            <w:pPr>
              <w:pStyle w:val="TableParagraph"/>
              <w:spacing w:before="43"/>
              <w:ind w:left="106"/>
              <w:jc w:val="left"/>
              <w:rPr>
                <w:sz w:val="21"/>
              </w:rPr>
            </w:pPr>
            <w:r>
              <w:rPr>
                <w:sz w:val="21"/>
              </w:rPr>
              <w:t>的火灾事故风险</w:t>
            </w:r>
          </w:p>
        </w:tc>
      </w:tr>
    </w:tbl>
    <w:p>
      <w:pPr>
        <w:pStyle w:val="BodyText"/>
        <w:spacing w:before="1"/>
        <w:ind w:left="0"/>
        <w:rPr>
          <w:sz w:val="20"/>
        </w:rPr>
      </w:pPr>
    </w:p>
    <w:p>
      <w:pPr>
        <w:pStyle w:val="BodyText"/>
        <w:spacing w:before="0"/>
        <w:ind w:left="698"/>
      </w:pPr>
      <w:bookmarkStart w:name="（二）产品售后责任" w:id="25"/>
      <w:bookmarkEnd w:id="25"/>
      <w:r>
        <w:rPr/>
      </w:r>
      <w:r>
        <w:rPr/>
        <w:t>（二）产品售后责任</w:t>
      </w:r>
    </w:p>
    <w:p>
      <w:pPr>
        <w:spacing w:after="0"/>
        <w:sectPr>
          <w:pgSz w:w="11910" w:h="16840"/>
          <w:pgMar w:top="1420" w:bottom="280" w:left="1200" w:right="760"/>
        </w:sectPr>
      </w:pPr>
    </w:p>
    <w:p>
      <w:pPr>
        <w:pStyle w:val="BodyText"/>
        <w:spacing w:line="364" w:lineRule="auto" w:before="40"/>
        <w:ind w:right="437" w:firstLine="463"/>
        <w:jc w:val="both"/>
      </w:pPr>
      <w:r>
        <w:rPr>
          <w:spacing w:val="-10"/>
        </w:rPr>
        <w:t>万得福在售后服务方面，加强顾客反馈和异议处理管理，并制定管理流程，明确相关部门的职责，保证顾客投诉得到及时有效处理。同时，为确保客户投诉的信息有效利用，公司每月对生产质量投诉进行汇总；对存在相似的生产质量投诉问题进行专题分析，制定整改措</w:t>
      </w:r>
      <w:r>
        <w:rPr/>
        <w:t>施，并通过质量体系进行审核，实施有效改进。</w:t>
      </w:r>
    </w:p>
    <w:p>
      <w:pPr>
        <w:pStyle w:val="BodyText"/>
        <w:spacing w:line="364" w:lineRule="auto" w:before="3"/>
        <w:ind w:right="372" w:firstLine="480"/>
        <w:jc w:val="both"/>
      </w:pPr>
      <w:r>
        <w:rPr>
          <w:spacing w:val="-1"/>
        </w:rPr>
        <w:t>公司重视质量承诺，并通过发布质量诚信报告、口头告知、销售合同等方式向客户和社会公开并广泛宣传组织应履行和兑现的承诺内容。其中对“浙江制造”认证产品做出质</w:t>
      </w:r>
      <w:r>
        <w:rPr/>
        <w:t>量承诺如下：</w:t>
      </w:r>
    </w:p>
    <w:p>
      <w:pPr>
        <w:pStyle w:val="BodyText"/>
        <w:spacing w:before="2"/>
        <w:ind w:left="681"/>
        <w:jc w:val="both"/>
      </w:pPr>
      <w:r>
        <w:rPr>
          <w:spacing w:val="-11"/>
        </w:rPr>
        <w:t>①在正常运输、贮存且包装完整和未经启封的情况下，产品使用期限不少于 </w:t>
      </w:r>
      <w:r>
        <w:rPr/>
        <w:t>2</w:t>
      </w:r>
      <w:r>
        <w:rPr>
          <w:spacing w:val="-8"/>
        </w:rPr>
        <w:t> 年。</w:t>
      </w:r>
    </w:p>
    <w:p>
      <w:pPr>
        <w:pStyle w:val="BodyText"/>
        <w:spacing w:line="364" w:lineRule="auto"/>
        <w:ind w:right="437" w:firstLine="463"/>
        <w:jc w:val="both"/>
      </w:pPr>
      <w:r>
        <w:rPr>
          <w:spacing w:val="-10"/>
        </w:rPr>
        <w:t>②产品使用过程中出现问题，客户可利用电话、微信、呼叫中心等途径联系我司技术人员，我司在 </w:t>
      </w:r>
      <w:r>
        <w:rPr>
          <w:spacing w:val="-2"/>
        </w:rPr>
        <w:t>24</w:t>
      </w:r>
      <w:r>
        <w:rPr>
          <w:spacing w:val="-10"/>
        </w:rPr>
        <w:t> 小时内响应，</w:t>
      </w:r>
      <w:r>
        <w:rPr>
          <w:spacing w:val="-4"/>
        </w:rPr>
        <w:t>48</w:t>
      </w:r>
      <w:r>
        <w:rPr>
          <w:spacing w:val="-16"/>
        </w:rPr>
        <w:t> 小时内提出解决方案。</w:t>
      </w:r>
    </w:p>
    <w:p>
      <w:pPr>
        <w:pStyle w:val="BodyText"/>
        <w:spacing w:before="1"/>
        <w:ind w:left="681"/>
      </w:pPr>
      <w:r>
        <w:rPr>
          <w:spacing w:val="-10"/>
        </w:rPr>
        <w:t>③属于产品质量问题的，我司给予免费退换。</w:t>
      </w:r>
    </w:p>
    <w:p>
      <w:pPr>
        <w:pStyle w:val="BodyText"/>
        <w:spacing w:before="161"/>
        <w:ind w:left="698"/>
      </w:pPr>
      <w:bookmarkStart w:name="（三）质量诚信记录" w:id="26"/>
      <w:bookmarkEnd w:id="26"/>
      <w:r>
        <w:rPr/>
      </w:r>
      <w:r>
        <w:rPr/>
        <w:t>（三）质量诚信记录</w:t>
      </w:r>
    </w:p>
    <w:p>
      <w:pPr>
        <w:pStyle w:val="BodyText"/>
        <w:spacing w:line="364" w:lineRule="auto"/>
        <w:ind w:right="384" w:firstLine="463"/>
      </w:pPr>
      <w:r>
        <w:rPr/>
        <w:drawing>
          <wp:anchor distT="0" distB="0" distL="0" distR="0" allowOverlap="1" layoutInCell="1" locked="0" behindDoc="1" simplePos="0" relativeHeight="487325184">
            <wp:simplePos x="0" y="0"/>
            <wp:positionH relativeFrom="page">
              <wp:posOffset>2072639</wp:posOffset>
            </wp:positionH>
            <wp:positionV relativeFrom="paragraph">
              <wp:posOffset>652653</wp:posOffset>
            </wp:positionV>
            <wp:extent cx="3592067" cy="255117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592067" cy="2551176"/>
                    </a:xfrm>
                    <a:prstGeom prst="rect">
                      <a:avLst/>
                    </a:prstGeom>
                  </pic:spPr>
                </pic:pic>
              </a:graphicData>
            </a:graphic>
          </wp:anchor>
        </w:drawing>
      </w:r>
      <w:r>
        <w:rPr>
          <w:spacing w:val="-26"/>
        </w:rPr>
        <w:t>截至 </w:t>
      </w:r>
      <w:r>
        <w:rPr>
          <w:spacing w:val="-3"/>
        </w:rPr>
        <w:t>2020</w:t>
      </w:r>
      <w:r>
        <w:rPr>
          <w:spacing w:val="-47"/>
        </w:rPr>
        <w:t> 年 </w:t>
      </w:r>
      <w:r>
        <w:rPr>
          <w:spacing w:val="-2"/>
        </w:rPr>
        <w:t>12</w:t>
      </w:r>
      <w:r>
        <w:rPr>
          <w:spacing w:val="-46"/>
        </w:rPr>
        <w:t> 月 </w:t>
      </w:r>
      <w:r>
        <w:rPr>
          <w:spacing w:val="-2"/>
        </w:rPr>
        <w:t>31</w:t>
      </w:r>
      <w:r>
        <w:rPr>
          <w:spacing w:val="-15"/>
        </w:rPr>
        <w:t> 日，本公司产品质量稳定，无不良质量记录，并荣获“浙江省</w:t>
      </w:r>
      <w:r>
        <w:rPr>
          <w:spacing w:val="-4"/>
        </w:rPr>
        <w:t>AAA</w:t>
      </w:r>
      <w:r>
        <w:rPr>
          <w:spacing w:val="-117"/>
        </w:rPr>
        <w:t> </w:t>
      </w:r>
      <w:r>
        <w:rPr/>
        <w:t>级‘守合同重信用’企业”荣誉称号。</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1"/>
        <w:ind w:left="0"/>
        <w:rPr>
          <w:sz w:val="20"/>
        </w:rPr>
      </w:pPr>
    </w:p>
    <w:p>
      <w:pPr>
        <w:pStyle w:val="Heading2"/>
      </w:pPr>
      <w:bookmarkStart w:name="六、结束语" w:id="27"/>
      <w:bookmarkEnd w:id="27"/>
      <w:r>
        <w:rPr/>
      </w:r>
      <w:r>
        <w:rPr/>
        <w:t>六、结束语</w:t>
      </w:r>
    </w:p>
    <w:p>
      <w:pPr>
        <w:pStyle w:val="BodyText"/>
        <w:spacing w:line="364" w:lineRule="auto" w:before="214"/>
        <w:ind w:right="437" w:firstLine="463"/>
        <w:jc w:val="both"/>
      </w:pPr>
      <w:r>
        <w:rPr>
          <w:spacing w:val="-10"/>
        </w:rPr>
        <w:t>审视过去，万得福全面落实生产企业的质量安全主体责任，不断完善产品结构。从影响产品质量的每一个环节入手，不断完善企业内部各项管理制度，持续改进质量管理体系的运</w:t>
      </w:r>
      <w:r>
        <w:rPr/>
        <w:t>行质量，塑造良好的企业文化，打造卓越产品。</w:t>
      </w:r>
    </w:p>
    <w:p>
      <w:pPr>
        <w:pStyle w:val="BodyText"/>
        <w:spacing w:line="364" w:lineRule="auto" w:before="2"/>
        <w:ind w:right="249" w:firstLine="463"/>
      </w:pPr>
      <w:r>
        <w:rPr>
          <w:spacing w:val="-10"/>
        </w:rPr>
        <w:t>放眼未来，我们将以卓越的产品质量占领市场，以良好的信誉留住客户，推进质量管理</w:t>
      </w:r>
      <w:r>
        <w:rPr>
          <w:spacing w:val="-13"/>
        </w:rPr>
        <w:t>体系的持续改进和高效运行，全面强化全员维护品牌形象。公司坚信以质量为基，诚信为本，</w:t>
      </w:r>
      <w:r>
        <w:rPr>
          <w:spacing w:val="-117"/>
        </w:rPr>
        <w:t> </w:t>
      </w:r>
      <w:r>
        <w:rPr/>
        <w:t>向质量要效益、促发展，才真正达到诚信经营、以质取胜！</w:t>
      </w:r>
    </w:p>
    <w:sectPr>
      <w:pgSz w:w="11910" w:h="16840"/>
      <w:pgMar w:top="1440" w:bottom="280" w:left="12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73" w:hanging="592"/>
        <w:jc w:val="left"/>
      </w:pPr>
      <w:rPr>
        <w:rFonts w:hint="default" w:ascii="SimSun" w:hAnsi="SimSun" w:eastAsia="SimSun" w:cs="SimSun"/>
        <w:spacing w:val="-8"/>
        <w:w w:val="100"/>
        <w:sz w:val="22"/>
        <w:szCs w:val="22"/>
        <w:lang w:val="en-US" w:eastAsia="zh-CN" w:bidi="ar-SA"/>
      </w:rPr>
    </w:lvl>
    <w:lvl w:ilvl="1">
      <w:start w:val="0"/>
      <w:numFmt w:val="bullet"/>
      <w:lvlText w:val="•"/>
      <w:lvlJc w:val="left"/>
      <w:pPr>
        <w:ind w:left="2146" w:hanging="592"/>
      </w:pPr>
      <w:rPr>
        <w:rFonts w:hint="default"/>
        <w:lang w:val="en-US" w:eastAsia="zh-CN" w:bidi="ar-SA"/>
      </w:rPr>
    </w:lvl>
    <w:lvl w:ilvl="2">
      <w:start w:val="0"/>
      <w:numFmt w:val="bullet"/>
      <w:lvlText w:val="•"/>
      <w:lvlJc w:val="left"/>
      <w:pPr>
        <w:ind w:left="3013" w:hanging="592"/>
      </w:pPr>
      <w:rPr>
        <w:rFonts w:hint="default"/>
        <w:lang w:val="en-US" w:eastAsia="zh-CN" w:bidi="ar-SA"/>
      </w:rPr>
    </w:lvl>
    <w:lvl w:ilvl="3">
      <w:start w:val="0"/>
      <w:numFmt w:val="bullet"/>
      <w:lvlText w:val="•"/>
      <w:lvlJc w:val="left"/>
      <w:pPr>
        <w:ind w:left="3879" w:hanging="592"/>
      </w:pPr>
      <w:rPr>
        <w:rFonts w:hint="default"/>
        <w:lang w:val="en-US" w:eastAsia="zh-CN" w:bidi="ar-SA"/>
      </w:rPr>
    </w:lvl>
    <w:lvl w:ilvl="4">
      <w:start w:val="0"/>
      <w:numFmt w:val="bullet"/>
      <w:lvlText w:val="•"/>
      <w:lvlJc w:val="left"/>
      <w:pPr>
        <w:ind w:left="4746" w:hanging="592"/>
      </w:pPr>
      <w:rPr>
        <w:rFonts w:hint="default"/>
        <w:lang w:val="en-US" w:eastAsia="zh-CN" w:bidi="ar-SA"/>
      </w:rPr>
    </w:lvl>
    <w:lvl w:ilvl="5">
      <w:start w:val="0"/>
      <w:numFmt w:val="bullet"/>
      <w:lvlText w:val="•"/>
      <w:lvlJc w:val="left"/>
      <w:pPr>
        <w:ind w:left="5613" w:hanging="592"/>
      </w:pPr>
      <w:rPr>
        <w:rFonts w:hint="default"/>
        <w:lang w:val="en-US" w:eastAsia="zh-CN" w:bidi="ar-SA"/>
      </w:rPr>
    </w:lvl>
    <w:lvl w:ilvl="6">
      <w:start w:val="0"/>
      <w:numFmt w:val="bullet"/>
      <w:lvlText w:val="•"/>
      <w:lvlJc w:val="left"/>
      <w:pPr>
        <w:ind w:left="6479" w:hanging="592"/>
      </w:pPr>
      <w:rPr>
        <w:rFonts w:hint="default"/>
        <w:lang w:val="en-US" w:eastAsia="zh-CN" w:bidi="ar-SA"/>
      </w:rPr>
    </w:lvl>
    <w:lvl w:ilvl="7">
      <w:start w:val="0"/>
      <w:numFmt w:val="bullet"/>
      <w:lvlText w:val="•"/>
      <w:lvlJc w:val="left"/>
      <w:pPr>
        <w:ind w:left="7346" w:hanging="592"/>
      </w:pPr>
      <w:rPr>
        <w:rFonts w:hint="default"/>
        <w:lang w:val="en-US" w:eastAsia="zh-CN" w:bidi="ar-SA"/>
      </w:rPr>
    </w:lvl>
    <w:lvl w:ilvl="8">
      <w:start w:val="0"/>
      <w:numFmt w:val="bullet"/>
      <w:lvlText w:val="•"/>
      <w:lvlJc w:val="left"/>
      <w:pPr>
        <w:ind w:left="8212" w:hanging="592"/>
      </w:pPr>
      <w:rPr>
        <w:rFonts w:hint="default"/>
        <w:lang w:val="en-US" w:eastAsia="zh-CN" w:bidi="ar-SA"/>
      </w:rPr>
    </w:lvl>
  </w:abstractNum>
  <w:abstractNum w:abstractNumId="1">
    <w:multiLevelType w:val="hybridMultilevel"/>
    <w:lvl w:ilvl="0">
      <w:start w:val="1"/>
      <w:numFmt w:val="decimal"/>
      <w:lvlText w:val="（%1）"/>
      <w:lvlJc w:val="left"/>
      <w:pPr>
        <w:ind w:left="1270" w:hanging="589"/>
        <w:jc w:val="left"/>
      </w:pPr>
      <w:rPr>
        <w:rFonts w:hint="default" w:ascii="SimSun" w:hAnsi="SimSun" w:eastAsia="SimSun" w:cs="SimSun"/>
        <w:spacing w:val="-8"/>
        <w:w w:val="100"/>
        <w:sz w:val="22"/>
        <w:szCs w:val="22"/>
        <w:lang w:val="en-US" w:eastAsia="zh-CN" w:bidi="ar-SA"/>
      </w:rPr>
    </w:lvl>
    <w:lvl w:ilvl="1">
      <w:start w:val="0"/>
      <w:numFmt w:val="bullet"/>
      <w:lvlText w:val="•"/>
      <w:lvlJc w:val="left"/>
      <w:pPr>
        <w:ind w:left="2146" w:hanging="589"/>
      </w:pPr>
      <w:rPr>
        <w:rFonts w:hint="default"/>
        <w:lang w:val="en-US" w:eastAsia="zh-CN" w:bidi="ar-SA"/>
      </w:rPr>
    </w:lvl>
    <w:lvl w:ilvl="2">
      <w:start w:val="0"/>
      <w:numFmt w:val="bullet"/>
      <w:lvlText w:val="•"/>
      <w:lvlJc w:val="left"/>
      <w:pPr>
        <w:ind w:left="3013" w:hanging="589"/>
      </w:pPr>
      <w:rPr>
        <w:rFonts w:hint="default"/>
        <w:lang w:val="en-US" w:eastAsia="zh-CN" w:bidi="ar-SA"/>
      </w:rPr>
    </w:lvl>
    <w:lvl w:ilvl="3">
      <w:start w:val="0"/>
      <w:numFmt w:val="bullet"/>
      <w:lvlText w:val="•"/>
      <w:lvlJc w:val="left"/>
      <w:pPr>
        <w:ind w:left="3879" w:hanging="589"/>
      </w:pPr>
      <w:rPr>
        <w:rFonts w:hint="default"/>
        <w:lang w:val="en-US" w:eastAsia="zh-CN" w:bidi="ar-SA"/>
      </w:rPr>
    </w:lvl>
    <w:lvl w:ilvl="4">
      <w:start w:val="0"/>
      <w:numFmt w:val="bullet"/>
      <w:lvlText w:val="•"/>
      <w:lvlJc w:val="left"/>
      <w:pPr>
        <w:ind w:left="4746" w:hanging="589"/>
      </w:pPr>
      <w:rPr>
        <w:rFonts w:hint="default"/>
        <w:lang w:val="en-US" w:eastAsia="zh-CN" w:bidi="ar-SA"/>
      </w:rPr>
    </w:lvl>
    <w:lvl w:ilvl="5">
      <w:start w:val="0"/>
      <w:numFmt w:val="bullet"/>
      <w:lvlText w:val="•"/>
      <w:lvlJc w:val="left"/>
      <w:pPr>
        <w:ind w:left="5613" w:hanging="589"/>
      </w:pPr>
      <w:rPr>
        <w:rFonts w:hint="default"/>
        <w:lang w:val="en-US" w:eastAsia="zh-CN" w:bidi="ar-SA"/>
      </w:rPr>
    </w:lvl>
    <w:lvl w:ilvl="6">
      <w:start w:val="0"/>
      <w:numFmt w:val="bullet"/>
      <w:lvlText w:val="•"/>
      <w:lvlJc w:val="left"/>
      <w:pPr>
        <w:ind w:left="6479" w:hanging="589"/>
      </w:pPr>
      <w:rPr>
        <w:rFonts w:hint="default"/>
        <w:lang w:val="en-US" w:eastAsia="zh-CN" w:bidi="ar-SA"/>
      </w:rPr>
    </w:lvl>
    <w:lvl w:ilvl="7">
      <w:start w:val="0"/>
      <w:numFmt w:val="bullet"/>
      <w:lvlText w:val="•"/>
      <w:lvlJc w:val="left"/>
      <w:pPr>
        <w:ind w:left="7346" w:hanging="589"/>
      </w:pPr>
      <w:rPr>
        <w:rFonts w:hint="default"/>
        <w:lang w:val="en-US" w:eastAsia="zh-CN" w:bidi="ar-SA"/>
      </w:rPr>
    </w:lvl>
    <w:lvl w:ilvl="8">
      <w:start w:val="0"/>
      <w:numFmt w:val="bullet"/>
      <w:lvlText w:val="•"/>
      <w:lvlJc w:val="left"/>
      <w:pPr>
        <w:ind w:left="8212" w:hanging="589"/>
      </w:pPr>
      <w:rPr>
        <w:rFonts w:hint="default"/>
        <w:lang w:val="en-US" w:eastAsia="zh-CN" w:bidi="ar-SA"/>
      </w:rPr>
    </w:lvl>
  </w:abstractNum>
  <w:abstractNum w:abstractNumId="0">
    <w:multiLevelType w:val="hybridMultilevel"/>
    <w:lvl w:ilvl="0">
      <w:start w:val="1"/>
      <w:numFmt w:val="decimal"/>
      <w:lvlText w:val="%1）"/>
      <w:lvlJc w:val="left"/>
      <w:pPr>
        <w:ind w:left="1037" w:hanging="357"/>
        <w:jc w:val="left"/>
      </w:pPr>
      <w:rPr>
        <w:rFonts w:hint="default" w:ascii="SimSun" w:hAnsi="SimSun" w:eastAsia="SimSun" w:cs="SimSun"/>
        <w:spacing w:val="-8"/>
        <w:w w:val="100"/>
        <w:sz w:val="22"/>
        <w:szCs w:val="22"/>
        <w:lang w:val="en-US" w:eastAsia="zh-CN" w:bidi="ar-SA"/>
      </w:rPr>
    </w:lvl>
    <w:lvl w:ilvl="1">
      <w:start w:val="0"/>
      <w:numFmt w:val="bullet"/>
      <w:lvlText w:val="•"/>
      <w:lvlJc w:val="left"/>
      <w:pPr>
        <w:ind w:left="1930" w:hanging="357"/>
      </w:pPr>
      <w:rPr>
        <w:rFonts w:hint="default"/>
        <w:lang w:val="en-US" w:eastAsia="zh-CN" w:bidi="ar-SA"/>
      </w:rPr>
    </w:lvl>
    <w:lvl w:ilvl="2">
      <w:start w:val="0"/>
      <w:numFmt w:val="bullet"/>
      <w:lvlText w:val="•"/>
      <w:lvlJc w:val="left"/>
      <w:pPr>
        <w:ind w:left="2821" w:hanging="357"/>
      </w:pPr>
      <w:rPr>
        <w:rFonts w:hint="default"/>
        <w:lang w:val="en-US" w:eastAsia="zh-CN" w:bidi="ar-SA"/>
      </w:rPr>
    </w:lvl>
    <w:lvl w:ilvl="3">
      <w:start w:val="0"/>
      <w:numFmt w:val="bullet"/>
      <w:lvlText w:val="•"/>
      <w:lvlJc w:val="left"/>
      <w:pPr>
        <w:ind w:left="3711" w:hanging="357"/>
      </w:pPr>
      <w:rPr>
        <w:rFonts w:hint="default"/>
        <w:lang w:val="en-US" w:eastAsia="zh-CN" w:bidi="ar-SA"/>
      </w:rPr>
    </w:lvl>
    <w:lvl w:ilvl="4">
      <w:start w:val="0"/>
      <w:numFmt w:val="bullet"/>
      <w:lvlText w:val="•"/>
      <w:lvlJc w:val="left"/>
      <w:pPr>
        <w:ind w:left="4602" w:hanging="357"/>
      </w:pPr>
      <w:rPr>
        <w:rFonts w:hint="default"/>
        <w:lang w:val="en-US" w:eastAsia="zh-CN" w:bidi="ar-SA"/>
      </w:rPr>
    </w:lvl>
    <w:lvl w:ilvl="5">
      <w:start w:val="0"/>
      <w:numFmt w:val="bullet"/>
      <w:lvlText w:val="•"/>
      <w:lvlJc w:val="left"/>
      <w:pPr>
        <w:ind w:left="5493" w:hanging="357"/>
      </w:pPr>
      <w:rPr>
        <w:rFonts w:hint="default"/>
        <w:lang w:val="en-US" w:eastAsia="zh-CN" w:bidi="ar-SA"/>
      </w:rPr>
    </w:lvl>
    <w:lvl w:ilvl="6">
      <w:start w:val="0"/>
      <w:numFmt w:val="bullet"/>
      <w:lvlText w:val="•"/>
      <w:lvlJc w:val="left"/>
      <w:pPr>
        <w:ind w:left="6383" w:hanging="357"/>
      </w:pPr>
      <w:rPr>
        <w:rFonts w:hint="default"/>
        <w:lang w:val="en-US" w:eastAsia="zh-CN" w:bidi="ar-SA"/>
      </w:rPr>
    </w:lvl>
    <w:lvl w:ilvl="7">
      <w:start w:val="0"/>
      <w:numFmt w:val="bullet"/>
      <w:lvlText w:val="•"/>
      <w:lvlJc w:val="left"/>
      <w:pPr>
        <w:ind w:left="7274" w:hanging="357"/>
      </w:pPr>
      <w:rPr>
        <w:rFonts w:hint="default"/>
        <w:lang w:val="en-US" w:eastAsia="zh-CN" w:bidi="ar-SA"/>
      </w:rPr>
    </w:lvl>
    <w:lvl w:ilvl="8">
      <w:start w:val="0"/>
      <w:numFmt w:val="bullet"/>
      <w:lvlText w:val="•"/>
      <w:lvlJc w:val="left"/>
      <w:pPr>
        <w:ind w:left="8164" w:hanging="357"/>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160"/>
      <w:ind w:left="218"/>
    </w:pPr>
    <w:rPr>
      <w:rFonts w:ascii="SimSun" w:hAnsi="SimSun" w:eastAsia="SimSun" w:cs="SimSun"/>
      <w:sz w:val="24"/>
      <w:szCs w:val="24"/>
      <w:lang w:val="en-US" w:eastAsia="zh-CN" w:bidi="ar-SA"/>
    </w:rPr>
  </w:style>
  <w:style w:styleId="Heading1" w:type="paragraph">
    <w:name w:val="Heading 1"/>
    <w:basedOn w:val="Normal"/>
    <w:uiPriority w:val="1"/>
    <w:qFormat/>
    <w:pPr>
      <w:ind w:left="2090" w:right="2242"/>
      <w:jc w:val="center"/>
      <w:outlineLvl w:val="1"/>
    </w:pPr>
    <w:rPr>
      <w:rFonts w:ascii="SimSun" w:hAnsi="SimSun" w:eastAsia="SimSun" w:cs="SimSun"/>
      <w:sz w:val="32"/>
      <w:szCs w:val="32"/>
      <w:lang w:val="en-US" w:eastAsia="zh-CN" w:bidi="ar-SA"/>
    </w:rPr>
  </w:style>
  <w:style w:styleId="Heading2" w:type="paragraph">
    <w:name w:val="Heading 2"/>
    <w:basedOn w:val="Normal"/>
    <w:uiPriority w:val="1"/>
    <w:qFormat/>
    <w:pPr>
      <w:ind w:left="218"/>
      <w:outlineLvl w:val="2"/>
    </w:pPr>
    <w:rPr>
      <w:rFonts w:ascii="SimSun" w:hAnsi="SimSun" w:eastAsia="SimSun" w:cs="SimSun"/>
      <w:sz w:val="28"/>
      <w:szCs w:val="28"/>
      <w:lang w:val="en-US" w:eastAsia="zh-CN" w:bidi="ar-SA"/>
    </w:rPr>
  </w:style>
  <w:style w:styleId="Title" w:type="paragraph">
    <w:name w:val="Title"/>
    <w:basedOn w:val="Normal"/>
    <w:uiPriority w:val="1"/>
    <w:qFormat/>
    <w:pPr>
      <w:spacing w:before="15"/>
      <w:ind w:left="2095" w:right="2247"/>
      <w:jc w:val="center"/>
    </w:pPr>
    <w:rPr>
      <w:rFonts w:ascii="SimSun" w:hAnsi="SimSun" w:eastAsia="SimSun" w:cs="SimSun"/>
      <w:sz w:val="40"/>
      <w:szCs w:val="40"/>
      <w:lang w:val="en-US" w:eastAsia="zh-CN" w:bidi="ar-SA"/>
    </w:rPr>
  </w:style>
  <w:style w:styleId="ListParagraph" w:type="paragraph">
    <w:name w:val="List Paragraph"/>
    <w:basedOn w:val="Normal"/>
    <w:uiPriority w:val="1"/>
    <w:qFormat/>
    <w:pPr>
      <w:spacing w:before="160"/>
      <w:ind w:left="1037" w:hanging="357"/>
    </w:pPr>
    <w:rPr>
      <w:rFonts w:ascii="SimSun" w:hAnsi="SimSun" w:eastAsia="SimSun" w:cs="SimSun"/>
      <w:lang w:val="en-US" w:eastAsia="zh-CN" w:bidi="ar-SA"/>
    </w:rPr>
  </w:style>
  <w:style w:styleId="TableParagraph" w:type="paragraph">
    <w:name w:val="Table Paragraph"/>
    <w:basedOn w:val="Normal"/>
    <w:uiPriority w:val="1"/>
    <w:qFormat/>
    <w:pPr>
      <w:spacing w:before="92"/>
      <w:jc w:val="center"/>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田佳能</dc:creator>
  <dcterms:created xsi:type="dcterms:W3CDTF">2021-09-24T06:10:02Z</dcterms:created>
  <dcterms:modified xsi:type="dcterms:W3CDTF">2021-09-24T06:10:02Z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WPS 文字</vt:lpwstr>
  </property>
  <property fmtid="{D5CDD505-2E9C-101B-9397-08002B2CF9AE}" pid="4" name="LastSaved">
    <vt:filetime>2021-09-24T00:00:00Z</vt:filetime>
  </property>
</Properties>
</file>